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E29EB" w14:textId="77777777" w:rsidR="00466470" w:rsidRPr="00466470" w:rsidRDefault="00466470">
      <w:pPr>
        <w:rPr>
          <w:b/>
          <w:bCs/>
          <w:u w:val="single"/>
          <w:lang w:val="es-MX"/>
        </w:rPr>
      </w:pPr>
      <w:r w:rsidRPr="00466470">
        <w:rPr>
          <w:b/>
          <w:bCs/>
          <w:u w:val="single"/>
          <w:lang w:val="es-MX"/>
        </w:rPr>
        <w:t>Actividades para puesta en común en el próximo encuentro</w:t>
      </w:r>
    </w:p>
    <w:p w14:paraId="5E4E3087" w14:textId="77777777" w:rsidR="00466470" w:rsidRDefault="00466470">
      <w:pPr>
        <w:rPr>
          <w:lang w:val="es-MX"/>
        </w:rPr>
      </w:pPr>
    </w:p>
    <w:p w14:paraId="0106B615" w14:textId="61823AE2" w:rsidR="00466470" w:rsidRPr="00466470" w:rsidRDefault="00491FB4">
      <w:pPr>
        <w:rPr>
          <w:u w:val="single"/>
          <w:lang w:val="es-MX"/>
        </w:rPr>
      </w:pPr>
      <w:r>
        <w:rPr>
          <w:u w:val="single"/>
          <w:lang w:val="es-MX"/>
        </w:rPr>
        <w:t>1-</w:t>
      </w:r>
      <w:r w:rsidR="00466470" w:rsidRPr="00466470">
        <w:rPr>
          <w:u w:val="single"/>
          <w:lang w:val="es-MX"/>
        </w:rPr>
        <w:t>Cuestionario integrador</w:t>
      </w:r>
    </w:p>
    <w:p w14:paraId="5749B15E" w14:textId="30658D44" w:rsidR="00466470" w:rsidRDefault="00466470">
      <w:pPr>
        <w:rPr>
          <w:lang w:val="es-MX"/>
        </w:rPr>
      </w:pPr>
      <w:r>
        <w:rPr>
          <w:lang w:val="es-MX"/>
        </w:rPr>
        <w:t>A modo de fortalecer los conocimientos integrados con la lectura, les dejo un pequeño cuestionario.</w:t>
      </w:r>
    </w:p>
    <w:p w14:paraId="728154D6" w14:textId="77777777" w:rsidR="00466470" w:rsidRDefault="00466470">
      <w:pPr>
        <w:rPr>
          <w:lang w:val="es-MX"/>
        </w:rPr>
      </w:pPr>
    </w:p>
    <w:p w14:paraId="35CD1B11" w14:textId="66A08E13" w:rsidR="00466470" w:rsidRPr="00466470" w:rsidRDefault="00466470">
      <w:pPr>
        <w:rPr>
          <w:lang w:val="es-MX"/>
        </w:rPr>
      </w:pPr>
      <w:r w:rsidRPr="00466470">
        <w:rPr>
          <w:b/>
          <w:bCs/>
          <w:lang w:val="es-MX"/>
        </w:rPr>
        <w:t>Seleccione la respuesta correcta</w:t>
      </w:r>
      <w:r>
        <w:rPr>
          <w:lang w:val="es-MX"/>
        </w:rPr>
        <w:t>.</w:t>
      </w:r>
    </w:p>
    <w:p w14:paraId="5750431A" w14:textId="77777777" w:rsidR="00466470" w:rsidRDefault="00466470" w:rsidP="00466470"/>
    <w:p w14:paraId="56E23F82" w14:textId="38776451" w:rsidR="00466470" w:rsidRPr="00466470" w:rsidRDefault="00466470" w:rsidP="00466470">
      <w:r w:rsidRPr="00466470">
        <w:t>Un paciente con gastritis crónica presenta síntomas persistentes. ¿Qué consecuencia fisiopatológica puede producirse como resultado de lesiones repetidas de la mucosa gástrica?</w:t>
      </w:r>
    </w:p>
    <w:p w14:paraId="40AB494D" w14:textId="77777777" w:rsidR="00466470" w:rsidRPr="00466470" w:rsidRDefault="00466470" w:rsidP="00466470">
      <w:r w:rsidRPr="00466470">
        <w:t>a) Hipertrofia permanente de la mucosa.</w:t>
      </w:r>
      <w:r w:rsidRPr="00466470">
        <w:br/>
        <w:t>b) Atrofia o adelgazamiento del tejido gástrico.</w:t>
      </w:r>
      <w:r w:rsidRPr="00466470">
        <w:br/>
        <w:t>c) Aumento de la resistencia de la mucosa.</w:t>
      </w:r>
      <w:r w:rsidRPr="00466470">
        <w:br/>
        <w:t>d) Eliminación espontánea de H. pylori.</w:t>
      </w:r>
    </w:p>
    <w:p w14:paraId="3B1DBBA4" w14:textId="77777777" w:rsidR="00466470" w:rsidRDefault="00466470" w:rsidP="00466470"/>
    <w:p w14:paraId="24925D46" w14:textId="7F5A0278" w:rsidR="00466470" w:rsidRPr="00466470" w:rsidRDefault="00466470" w:rsidP="00466470">
      <w:r w:rsidRPr="00466470">
        <w:t>En relación con el diagnóstico de gastritis, ¿cuál de las siguientes intervenciones permite establecer el diagnóstico definitivo?</w:t>
      </w:r>
    </w:p>
    <w:p w14:paraId="1E10FE2E" w14:textId="77777777" w:rsidR="00466470" w:rsidRPr="00466470" w:rsidRDefault="00466470" w:rsidP="00466470">
      <w:r w:rsidRPr="00466470">
        <w:t>a) Hemograma exclusivamente.</w:t>
      </w:r>
      <w:r w:rsidRPr="00466470">
        <w:br/>
        <w:t>b) Radiografía abdominal simple.</w:t>
      </w:r>
      <w:r w:rsidRPr="00466470">
        <w:br/>
        <w:t>c) Endoscopia con obtención de muestra para biopsia.</w:t>
      </w:r>
      <w:r w:rsidRPr="00466470">
        <w:br/>
        <w:t>d) Valoración del dolor epigástrico.</w:t>
      </w:r>
    </w:p>
    <w:p w14:paraId="5BD04CEF" w14:textId="77777777" w:rsidR="00466470" w:rsidRDefault="00466470" w:rsidP="00466470"/>
    <w:p w14:paraId="48215884" w14:textId="1F88BD3B" w:rsidR="00466470" w:rsidRPr="00466470" w:rsidRDefault="00466470" w:rsidP="00466470">
      <w:r w:rsidRPr="00466470">
        <w:t>Un paciente con gastritis aguda continúa presentando vómitos y no tolera la vía oral. ¿Qué conducta de enfermería resulta especialmente importante si requiere tratamiento intravenoso?</w:t>
      </w:r>
    </w:p>
    <w:p w14:paraId="424D9B37" w14:textId="77777777" w:rsidR="00466470" w:rsidRPr="00466470" w:rsidRDefault="00466470" w:rsidP="00466470">
      <w:r w:rsidRPr="00466470">
        <w:t>a) Suspender el control de ingresos y egresos.</w:t>
      </w:r>
      <w:r w:rsidRPr="00466470">
        <w:br/>
        <w:t>b) Mantener alimentación sólida independientemente de los síntomas.</w:t>
      </w:r>
      <w:r w:rsidRPr="00466470">
        <w:br/>
        <w:t>c) Vigilar estrictamente ingresos y egresos de líquidos.</w:t>
      </w:r>
      <w:r w:rsidRPr="00466470">
        <w:br/>
        <w:t>d) Administrar cafeína para estimular la actividad gástrica.</w:t>
      </w:r>
    </w:p>
    <w:p w14:paraId="2A046A77" w14:textId="77777777" w:rsidR="00466470" w:rsidRDefault="00466470" w:rsidP="00466470"/>
    <w:p w14:paraId="100A384A" w14:textId="49AA6C2A" w:rsidR="00466470" w:rsidRPr="00466470" w:rsidRDefault="00466470" w:rsidP="00466470">
      <w:r w:rsidRPr="00466470">
        <w:t xml:space="preserve">Una persona con gastritis crónica presenta infección por </w:t>
      </w:r>
      <w:r w:rsidRPr="00466470">
        <w:rPr>
          <w:i/>
          <w:iCs/>
        </w:rPr>
        <w:t>H. pylori</w:t>
      </w:r>
      <w:r w:rsidRPr="00466470">
        <w:t>. ¿Qué combinación farmacológica se señala como habitual para tratar dicha infección?</w:t>
      </w:r>
    </w:p>
    <w:p w14:paraId="731E2654" w14:textId="77777777" w:rsidR="00466470" w:rsidRPr="00466470" w:rsidRDefault="00466470" w:rsidP="00466470">
      <w:r w:rsidRPr="00466470">
        <w:t>a) Únicamente antiácidos.</w:t>
      </w:r>
      <w:r w:rsidRPr="00466470">
        <w:br/>
        <w:t>b) protectores gástricos y antibióticos.</w:t>
      </w:r>
      <w:r w:rsidRPr="00466470">
        <w:br/>
        <w:t>c) Únicamente bloqueadores H2.</w:t>
      </w:r>
      <w:r w:rsidRPr="00466470">
        <w:br/>
        <w:t>d) Antibióticos y cafeína.</w:t>
      </w:r>
    </w:p>
    <w:p w14:paraId="62048117" w14:textId="63FCD26F" w:rsidR="00466470" w:rsidRPr="00466470" w:rsidRDefault="00466470" w:rsidP="00466470">
      <w:r w:rsidRPr="00466470">
        <w:lastRenderedPageBreak/>
        <w:t>Un paciente consulta por dolor epigástrico que aparece aproximadamente 2–3 horas después de comer y que mejora luego de ingerir alimentos o un antiácido. ¿Qué cuadro resulta más compatible con los datos proporcionados?</w:t>
      </w:r>
    </w:p>
    <w:p w14:paraId="61D944B1" w14:textId="77777777" w:rsidR="00466470" w:rsidRPr="00466470" w:rsidRDefault="00466470" w:rsidP="00466470">
      <w:r w:rsidRPr="00466470">
        <w:t>a) Úlcera gástrica.</w:t>
      </w:r>
      <w:r w:rsidRPr="00466470">
        <w:br/>
        <w:t>b) Úlcera duodenal.</w:t>
      </w:r>
      <w:r w:rsidRPr="00466470">
        <w:br/>
        <w:t>c) Gastritis aguda exclusivamente.</w:t>
      </w:r>
      <w:r w:rsidRPr="00466470">
        <w:br/>
        <w:t>d) Úlcera esofágica exclusivamente.</w:t>
      </w:r>
    </w:p>
    <w:p w14:paraId="615ABD83" w14:textId="77777777" w:rsidR="00466470" w:rsidRDefault="00466470" w:rsidP="00466470"/>
    <w:p w14:paraId="672D255F" w14:textId="290C8BC5" w:rsidR="00466470" w:rsidRPr="00466470" w:rsidRDefault="00466470" w:rsidP="00466470">
      <w:r w:rsidRPr="00466470">
        <w:t>Un paciente presenta dolor epigástrico inmediatamente después de las comidas, ¿qué posibilidad debe considerarse especialmente?</w:t>
      </w:r>
    </w:p>
    <w:p w14:paraId="49FF9D01" w14:textId="77777777" w:rsidR="00466470" w:rsidRPr="00466470" w:rsidRDefault="00466470" w:rsidP="00466470">
      <w:r w:rsidRPr="00466470">
        <w:t>a) Úlcera gástrica.</w:t>
      </w:r>
      <w:r w:rsidRPr="00466470">
        <w:br/>
        <w:t>b) Úlcera duodenal.</w:t>
      </w:r>
      <w:r w:rsidRPr="00466470">
        <w:br/>
        <w:t>c) Úlcera por estrés exclusivamente.</w:t>
      </w:r>
      <w:r w:rsidRPr="00466470">
        <w:br/>
        <w:t>d) Perforación intestinal obligatoriamente.</w:t>
      </w:r>
    </w:p>
    <w:p w14:paraId="64725D00" w14:textId="77777777" w:rsidR="00466470" w:rsidRDefault="00466470" w:rsidP="00466470"/>
    <w:p w14:paraId="2F6E49A5" w14:textId="01B05325" w:rsidR="00466470" w:rsidRPr="00466470" w:rsidRDefault="00466470" w:rsidP="00466470">
      <w:r w:rsidRPr="00466470">
        <w:t>En un paciente con sospecha de perforación de una úlcera péptica, ¿qué combinación de signos tiene mayor relevancia para valorar compromiso hemodinámico?</w:t>
      </w:r>
    </w:p>
    <w:p w14:paraId="350C1A81" w14:textId="77777777" w:rsidR="00466470" w:rsidRPr="00466470" w:rsidRDefault="00466470" w:rsidP="00466470">
      <w:r w:rsidRPr="00466470">
        <w:t>a) Pirosis y eructos.</w:t>
      </w:r>
      <w:r w:rsidRPr="00466470">
        <w:br/>
        <w:t>b) Hipotensión y taquicardia.</w:t>
      </w:r>
      <w:r w:rsidRPr="00466470">
        <w:br/>
        <w:t>c) Anorexia y saciedad temprana.</w:t>
      </w:r>
      <w:r w:rsidRPr="00466470">
        <w:br/>
        <w:t>d) Hipo y sabor amargo.</w:t>
      </w:r>
    </w:p>
    <w:p w14:paraId="6121E018" w14:textId="77777777" w:rsidR="00466470" w:rsidRDefault="00466470" w:rsidP="00466470"/>
    <w:p w14:paraId="14E5EFBC" w14:textId="1BD1F7F3" w:rsidR="00466470" w:rsidRPr="00466470" w:rsidRDefault="00466470" w:rsidP="00466470">
      <w:r w:rsidRPr="00466470">
        <w:t xml:space="preserve">¿Cuál es el principal objetivo terapéutico señalado para el tratamiento de la úlcera péptica asociada a </w:t>
      </w:r>
      <w:r w:rsidRPr="00466470">
        <w:rPr>
          <w:i/>
          <w:iCs/>
        </w:rPr>
        <w:t>H. pylori</w:t>
      </w:r>
      <w:r w:rsidRPr="00466470">
        <w:t>?</w:t>
      </w:r>
    </w:p>
    <w:p w14:paraId="542ABBFD" w14:textId="77777777" w:rsidR="00466470" w:rsidRDefault="00466470" w:rsidP="00466470">
      <w:r w:rsidRPr="00466470">
        <w:t>a) Estimular la secreción de ácido gástrico.</w:t>
      </w:r>
      <w:r w:rsidRPr="00466470">
        <w:br/>
        <w:t xml:space="preserve">b) Erradicar </w:t>
      </w:r>
      <w:r w:rsidRPr="00466470">
        <w:rPr>
          <w:i/>
          <w:iCs/>
        </w:rPr>
        <w:t>H. pylori</w:t>
      </w:r>
      <w:r w:rsidRPr="00466470">
        <w:t xml:space="preserve"> y tratar la acidez gástrica.</w:t>
      </w:r>
      <w:r w:rsidRPr="00466470">
        <w:br/>
        <w:t>c) Aumentar la hipermotilidad digestiva.</w:t>
      </w:r>
      <w:r w:rsidRPr="00466470">
        <w:br/>
        <w:t>d) Incrementar la exposición de la mucosa al HCl.</w:t>
      </w:r>
    </w:p>
    <w:p w14:paraId="4A7353EA" w14:textId="77777777" w:rsidR="00491FB4" w:rsidRDefault="00491FB4" w:rsidP="00466470"/>
    <w:p w14:paraId="70528662" w14:textId="25CE688E" w:rsidR="00491FB4" w:rsidRPr="00491FB4" w:rsidRDefault="00491FB4" w:rsidP="00491FB4">
      <w:r w:rsidRPr="00491FB4">
        <w:t>En un paciente internado con alto riesgo de desarrollar úlcera por estrés, ¿qué estrategia farmacológica preventiva se menciona?</w:t>
      </w:r>
    </w:p>
    <w:p w14:paraId="28FA5D35" w14:textId="77777777" w:rsidR="00491FB4" w:rsidRDefault="00491FB4" w:rsidP="00491FB4">
      <w:r w:rsidRPr="00491FB4">
        <w:t>a) Antagonistas H2 o inhibidores de la bomba de protones.</w:t>
      </w:r>
      <w:r w:rsidRPr="00491FB4">
        <w:br/>
        <w:t>b) Antibióticos y Antagonistas H2</w:t>
      </w:r>
      <w:r w:rsidRPr="00491FB4">
        <w:br/>
        <w:t>c) Cafeína y alcohol en dosis controladas.</w:t>
      </w:r>
      <w:r w:rsidRPr="00491FB4">
        <w:br/>
        <w:t>d) AINE para prevenir inflamación e inhibidores de la bomba de protones.</w:t>
      </w:r>
    </w:p>
    <w:p w14:paraId="2AB9632A" w14:textId="77777777" w:rsidR="00491FB4" w:rsidRPr="00491FB4" w:rsidRDefault="00491FB4" w:rsidP="00491FB4"/>
    <w:p w14:paraId="251DFFDA" w14:textId="5D18C569" w:rsidR="00491FB4" w:rsidRPr="00491FB4" w:rsidRDefault="00491FB4" w:rsidP="00491FB4">
      <w:r w:rsidRPr="00491FB4">
        <w:t>Un paciente presenta hematemesis y posteriormente deposiciones negras y alquitranadas. ¿Cómo debe interpretar enfermería estos hallazgos?</w:t>
      </w:r>
    </w:p>
    <w:p w14:paraId="0AED0D83" w14:textId="3C089660" w:rsidR="00491FB4" w:rsidRPr="00491FB4" w:rsidRDefault="00491FB4" w:rsidP="00491FB4">
      <w:r w:rsidRPr="00491FB4">
        <w:lastRenderedPageBreak/>
        <w:t>a) Son manifestaciones características de una hemorragia digestiva alta.</w:t>
      </w:r>
      <w:r w:rsidRPr="00491FB4">
        <w:br/>
        <w:t>b) Indican exclusivamente estreñimiento.</w:t>
      </w:r>
      <w:r w:rsidRPr="00491FB4">
        <w:br/>
        <w:t>c) Son manifestaciones normales de la gastritis sin sangrado.</w:t>
      </w:r>
      <w:r w:rsidRPr="00491FB4">
        <w:br/>
        <w:t xml:space="preserve">d) Indican la presencia </w:t>
      </w:r>
      <w:r w:rsidRPr="00491FB4">
        <w:t>de intolerancia</w:t>
      </w:r>
      <w:r w:rsidRPr="00491FB4">
        <w:t xml:space="preserve"> alimentaria descompensada.</w:t>
      </w:r>
    </w:p>
    <w:p w14:paraId="2E4FAE27" w14:textId="77777777" w:rsidR="00491FB4" w:rsidRDefault="00491FB4" w:rsidP="00491FB4"/>
    <w:p w14:paraId="782FF43E" w14:textId="77777777" w:rsidR="00491FB4" w:rsidRPr="00491FB4" w:rsidRDefault="00491FB4" w:rsidP="00491FB4"/>
    <w:p w14:paraId="227F8BFD" w14:textId="77777777" w:rsidR="00491FB4" w:rsidRPr="00466470" w:rsidRDefault="00491FB4" w:rsidP="00466470"/>
    <w:p w14:paraId="122F153B" w14:textId="77777777" w:rsidR="00466470" w:rsidRPr="00466470" w:rsidRDefault="00466470"/>
    <w:sectPr w:rsidR="00466470" w:rsidRPr="004664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470"/>
    <w:rsid w:val="00083EE0"/>
    <w:rsid w:val="00466470"/>
    <w:rsid w:val="00491FB4"/>
    <w:rsid w:val="0067396C"/>
    <w:rsid w:val="00A2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40205"/>
  <w15:chartTrackingRefBased/>
  <w15:docId w15:val="{70E39B65-888E-4A73-98BE-68E22A23C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66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66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664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66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664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664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664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664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664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664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664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664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6647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6647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664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6647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664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664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664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66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664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66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664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6647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6647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6647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664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6647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664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526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Marisa</dc:creator>
  <cp:keywords/>
  <dc:description/>
  <cp:lastModifiedBy>Prof. Marisa</cp:lastModifiedBy>
  <cp:revision>1</cp:revision>
  <dcterms:created xsi:type="dcterms:W3CDTF">2026-09-16T04:58:00Z</dcterms:created>
  <dcterms:modified xsi:type="dcterms:W3CDTF">2026-09-16T05:12:00Z</dcterms:modified>
</cp:coreProperties>
</file>