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94763" w14:textId="52403202" w:rsidR="0063223F" w:rsidRDefault="00FB1761" w:rsidP="00FB1761">
      <w:pPr>
        <w:jc w:val="center"/>
        <w:rPr>
          <w:b/>
          <w:bCs/>
        </w:rPr>
      </w:pPr>
      <w:r w:rsidRPr="00FB1761">
        <w:rPr>
          <w:b/>
          <w:bCs/>
        </w:rPr>
        <w:t>Guía de estudio: Enfermedades oncohematológicas</w:t>
      </w:r>
    </w:p>
    <w:p w14:paraId="2D2E9633" w14:textId="77777777" w:rsidR="00FB1761" w:rsidRDefault="00FB1761" w:rsidP="00FB1761">
      <w:pPr>
        <w:jc w:val="center"/>
        <w:rPr>
          <w:b/>
          <w:bCs/>
        </w:rPr>
      </w:pPr>
    </w:p>
    <w:p w14:paraId="408A8240" w14:textId="2091277B" w:rsidR="00FB1761" w:rsidRDefault="00FB1761" w:rsidP="00FB1761">
      <w:r>
        <w:t>1.</w:t>
      </w:r>
      <w:r w:rsidR="00F906E4">
        <w:t>Describa la médula ósea y sus funciones.</w:t>
      </w:r>
    </w:p>
    <w:p w14:paraId="6B72B592" w14:textId="5077C2C4" w:rsidR="00F906E4" w:rsidRDefault="00F906E4" w:rsidP="00FB1761">
      <w:r>
        <w:t>2.¿Qué función cumplen las células madre o precursoras y cómo se clasifican según su linaje?</w:t>
      </w:r>
    </w:p>
    <w:p w14:paraId="553A1AED" w14:textId="72EAFDBF" w:rsidR="00001708" w:rsidRDefault="004B7CA5" w:rsidP="00FB1761">
      <w:r>
        <w:t xml:space="preserve">3.Nombre los componentes del sistema linfático. </w:t>
      </w:r>
    </w:p>
    <w:p w14:paraId="173B9AB8" w14:textId="256B9D00" w:rsidR="00F906E4" w:rsidRDefault="004B7CA5" w:rsidP="00FB1761">
      <w:r>
        <w:t>4</w:t>
      </w:r>
      <w:r w:rsidR="009F282F">
        <w:t xml:space="preserve">.¿A </w:t>
      </w:r>
      <w:r w:rsidR="00A211B9">
        <w:t>qué</w:t>
      </w:r>
      <w:r w:rsidR="009F282F">
        <w:t xml:space="preserve"> se denomina leucemia? ¿Cómo se clasifica?</w:t>
      </w:r>
    </w:p>
    <w:p w14:paraId="505151CC" w14:textId="5B78151A" w:rsidR="009F282F" w:rsidRDefault="004B7CA5" w:rsidP="00FB1761">
      <w:r>
        <w:t>5</w:t>
      </w:r>
      <w:r w:rsidR="00FC2814">
        <w:t xml:space="preserve">.Realice un cuadro comparativo con las características, manifestaciones clínicas, diagnóstico médico y tratamiento de la LMA y la </w:t>
      </w:r>
      <w:r w:rsidR="00B51DDF">
        <w:t>L</w:t>
      </w:r>
      <w:r w:rsidR="00FC2814">
        <w:t>LA.</w:t>
      </w:r>
    </w:p>
    <w:p w14:paraId="3B911F5C" w14:textId="57088469" w:rsidR="0043750A" w:rsidRDefault="00A211B9" w:rsidP="00FB1761">
      <w:r>
        <w:t>6</w:t>
      </w:r>
      <w:r w:rsidR="0043750A">
        <w:t>.¿A qué llamamos linfoma?. Mencione su clasificación.</w:t>
      </w:r>
    </w:p>
    <w:p w14:paraId="4FDF47E8" w14:textId="4DDC19F6" w:rsidR="00DD67EF" w:rsidRDefault="00A211B9" w:rsidP="00FB1761">
      <w:r>
        <w:t>7</w:t>
      </w:r>
      <w:r w:rsidR="00DD67EF">
        <w:t>.Realice un cuadro comparativo con las características</w:t>
      </w:r>
      <w:r w:rsidR="00947737">
        <w:t>,</w:t>
      </w:r>
      <w:r w:rsidR="00DD67EF">
        <w:t xml:space="preserve"> </w:t>
      </w:r>
      <w:r w:rsidR="00947737">
        <w:t xml:space="preserve">manifestaciones clínicas, diagnóstico médico y tratamiento </w:t>
      </w:r>
      <w:r w:rsidR="00DD67EF">
        <w:t>de los linfomas Hodgkin y no Hodgkin.</w:t>
      </w:r>
    </w:p>
    <w:p w14:paraId="56222BE2" w14:textId="23456DEE" w:rsidR="0043750A" w:rsidRDefault="00A211B9" w:rsidP="00FB1761">
      <w:r>
        <w:t>8</w:t>
      </w:r>
      <w:r w:rsidR="00947737">
        <w:t xml:space="preserve">.Defina y nombre las principales características </w:t>
      </w:r>
      <w:r w:rsidR="00745D01">
        <w:t>del mieloma múltiple: síntomas, diagnóstico y tratamiento.</w:t>
      </w:r>
    </w:p>
    <w:p w14:paraId="66EAA8EE" w14:textId="7221491D" w:rsidR="00001708" w:rsidRDefault="00A211B9" w:rsidP="00FB1761">
      <w:r>
        <w:t>9</w:t>
      </w:r>
      <w:r w:rsidR="00745D01">
        <w:t>.Defina Síndrome mi</w:t>
      </w:r>
      <w:r w:rsidR="00001708">
        <w:t>elo</w:t>
      </w:r>
      <w:r w:rsidR="00745D01">
        <w:t>displásico</w:t>
      </w:r>
      <w:r w:rsidR="00001708">
        <w:t xml:space="preserve"> y caracterícelo: síntomas, diagnóstico y tratamiento.</w:t>
      </w:r>
    </w:p>
    <w:p w14:paraId="189DFDB6" w14:textId="77777777" w:rsidR="00001708" w:rsidRDefault="00001708" w:rsidP="00FB1761"/>
    <w:p w14:paraId="203C7F60" w14:textId="4CBD6E91" w:rsidR="00745D01" w:rsidRPr="00F41CCF" w:rsidRDefault="00A211B9" w:rsidP="00FB1761">
      <w:pPr>
        <w:rPr>
          <w:b/>
          <w:bCs/>
        </w:rPr>
      </w:pPr>
      <w:r w:rsidRPr="00F41CCF">
        <w:rPr>
          <w:b/>
          <w:bCs/>
        </w:rPr>
        <w:t>Bibliografía</w:t>
      </w:r>
      <w:r w:rsidR="00745D01" w:rsidRPr="00F41CCF">
        <w:rPr>
          <w:b/>
          <w:bCs/>
        </w:rPr>
        <w:t xml:space="preserve"> </w:t>
      </w:r>
    </w:p>
    <w:p w14:paraId="1509FB95" w14:textId="77777777" w:rsidR="00F846BD" w:rsidRPr="00F846BD" w:rsidRDefault="00F846BD" w:rsidP="00F846BD">
      <w:pPr>
        <w:pStyle w:val="Prrafodelista"/>
        <w:numPr>
          <w:ilvl w:val="0"/>
          <w:numId w:val="1"/>
        </w:numPr>
        <w:kinsoku w:val="0"/>
        <w:overflowPunct w:val="0"/>
        <w:spacing w:line="256" w:lineRule="auto"/>
        <w:textAlignment w:val="baseline"/>
        <w:rPr>
          <w:rFonts w:asciiTheme="minorHAnsi" w:hAnsiTheme="minorHAnsi" w:cstheme="minorHAnsi"/>
          <w:sz w:val="22"/>
          <w:szCs w:val="22"/>
        </w:rPr>
      </w:pPr>
      <w:proofErr w:type="spellStart"/>
      <w:r w:rsidRPr="00F846BD">
        <w:rPr>
          <w:rFonts w:asciiTheme="minorHAnsi" w:eastAsia="Calibri" w:hAnsiTheme="minorHAnsi" w:cstheme="minorHAnsi"/>
          <w:kern w:val="24"/>
          <w:sz w:val="22"/>
          <w:szCs w:val="22"/>
        </w:rPr>
        <w:t>Hinkle</w:t>
      </w:r>
      <w:proofErr w:type="spellEnd"/>
      <w:r w:rsidRPr="00F846BD">
        <w:rPr>
          <w:rFonts w:asciiTheme="minorHAnsi" w:eastAsia="Calibri" w:hAnsiTheme="minorHAnsi" w:cstheme="minorHAnsi"/>
          <w:kern w:val="24"/>
          <w:sz w:val="22"/>
          <w:szCs w:val="22"/>
        </w:rPr>
        <w:t xml:space="preserve">, J. y </w:t>
      </w:r>
      <w:proofErr w:type="spellStart"/>
      <w:r w:rsidRPr="00F846BD">
        <w:rPr>
          <w:rFonts w:asciiTheme="minorHAnsi" w:eastAsia="Calibri" w:hAnsiTheme="minorHAnsi" w:cstheme="minorHAnsi"/>
          <w:kern w:val="24"/>
          <w:sz w:val="22"/>
          <w:szCs w:val="22"/>
        </w:rPr>
        <w:t>Cheever</w:t>
      </w:r>
      <w:proofErr w:type="spellEnd"/>
      <w:r w:rsidRPr="00F846BD">
        <w:rPr>
          <w:rFonts w:asciiTheme="minorHAnsi" w:eastAsia="Calibri" w:hAnsiTheme="minorHAnsi" w:cstheme="minorHAnsi"/>
          <w:kern w:val="24"/>
          <w:sz w:val="22"/>
          <w:szCs w:val="22"/>
        </w:rPr>
        <w:t xml:space="preserve">, K. (2019). Tratamiento de pacientes con neoplasias hemáticas. En </w:t>
      </w:r>
      <w:r w:rsidRPr="00F846BD">
        <w:rPr>
          <w:rFonts w:asciiTheme="minorHAnsi" w:eastAsia="Calibri" w:hAnsiTheme="minorHAnsi" w:cstheme="minorHAnsi"/>
          <w:i/>
          <w:iCs/>
          <w:kern w:val="24"/>
          <w:sz w:val="22"/>
          <w:szCs w:val="22"/>
        </w:rPr>
        <w:t xml:space="preserve">Brunner y </w:t>
      </w:r>
      <w:proofErr w:type="spellStart"/>
      <w:r w:rsidRPr="00F846BD">
        <w:rPr>
          <w:rFonts w:asciiTheme="minorHAnsi" w:eastAsia="Calibri" w:hAnsiTheme="minorHAnsi" w:cstheme="minorHAnsi"/>
          <w:i/>
          <w:iCs/>
          <w:kern w:val="24"/>
          <w:sz w:val="22"/>
          <w:szCs w:val="22"/>
        </w:rPr>
        <w:t>Suddarth</w:t>
      </w:r>
      <w:proofErr w:type="spellEnd"/>
      <w:r w:rsidRPr="00F846BD">
        <w:rPr>
          <w:rFonts w:asciiTheme="minorHAnsi" w:eastAsia="Calibri" w:hAnsiTheme="minorHAnsi" w:cstheme="minorHAnsi"/>
          <w:kern w:val="24"/>
          <w:sz w:val="22"/>
          <w:szCs w:val="22"/>
        </w:rPr>
        <w:t xml:space="preserve">. </w:t>
      </w:r>
      <w:r w:rsidRPr="00F846BD">
        <w:rPr>
          <w:rFonts w:asciiTheme="minorHAnsi" w:eastAsia="Calibri" w:hAnsiTheme="minorHAnsi" w:cstheme="minorHAnsi"/>
          <w:i/>
          <w:iCs/>
          <w:kern w:val="24"/>
          <w:sz w:val="22"/>
          <w:szCs w:val="22"/>
        </w:rPr>
        <w:t xml:space="preserve">Enfermería </w:t>
      </w:r>
      <w:proofErr w:type="spellStart"/>
      <w:r w:rsidRPr="00F846BD">
        <w:rPr>
          <w:rFonts w:asciiTheme="minorHAnsi" w:eastAsia="Calibri" w:hAnsiTheme="minorHAnsi" w:cstheme="minorHAnsi"/>
          <w:i/>
          <w:iCs/>
          <w:kern w:val="24"/>
          <w:sz w:val="22"/>
          <w:szCs w:val="22"/>
        </w:rPr>
        <w:t>Medicoquirúrgica</w:t>
      </w:r>
      <w:proofErr w:type="spellEnd"/>
      <w:r w:rsidRPr="00F846BD">
        <w:rPr>
          <w:rFonts w:asciiTheme="minorHAnsi" w:eastAsia="Calibri" w:hAnsiTheme="minorHAnsi" w:cstheme="minorHAnsi"/>
          <w:i/>
          <w:iCs/>
          <w:kern w:val="24"/>
          <w:sz w:val="22"/>
          <w:szCs w:val="22"/>
        </w:rPr>
        <w:t xml:space="preserve"> (Vol. 1</w:t>
      </w:r>
      <w:r w:rsidRPr="00F846BD">
        <w:rPr>
          <w:rFonts w:asciiTheme="minorHAnsi" w:eastAsia="Calibri" w:hAnsiTheme="minorHAnsi" w:cstheme="minorHAnsi"/>
          <w:kern w:val="24"/>
          <w:sz w:val="22"/>
          <w:szCs w:val="22"/>
        </w:rPr>
        <w:t>). (14ª Ed.). (</w:t>
      </w:r>
      <w:proofErr w:type="spellStart"/>
      <w:r w:rsidRPr="00F846BD">
        <w:rPr>
          <w:rFonts w:asciiTheme="minorHAnsi" w:eastAsia="Calibri" w:hAnsiTheme="minorHAnsi" w:cstheme="minorHAnsi"/>
          <w:kern w:val="24"/>
          <w:sz w:val="22"/>
          <w:szCs w:val="22"/>
        </w:rPr>
        <w:t>pp</w:t>
      </w:r>
      <w:proofErr w:type="spellEnd"/>
      <w:r w:rsidRPr="00F846BD">
        <w:rPr>
          <w:rFonts w:asciiTheme="minorHAnsi" w:eastAsia="Calibri" w:hAnsiTheme="minorHAnsi" w:cstheme="minorHAnsi"/>
          <w:kern w:val="24"/>
          <w:sz w:val="22"/>
          <w:szCs w:val="22"/>
        </w:rPr>
        <w:t xml:space="preserve"> 971-999). Barcelona, España: Wolters </w:t>
      </w:r>
      <w:proofErr w:type="spellStart"/>
      <w:r w:rsidRPr="00F846BD">
        <w:rPr>
          <w:rFonts w:asciiTheme="minorHAnsi" w:eastAsia="Calibri" w:hAnsiTheme="minorHAnsi" w:cstheme="minorHAnsi"/>
          <w:kern w:val="24"/>
          <w:sz w:val="22"/>
          <w:szCs w:val="22"/>
        </w:rPr>
        <w:t>Kluwer</w:t>
      </w:r>
      <w:proofErr w:type="spellEnd"/>
    </w:p>
    <w:p w14:paraId="3B054F7B" w14:textId="77777777" w:rsidR="00F846BD" w:rsidRPr="00F846BD" w:rsidRDefault="00F846BD" w:rsidP="00F846BD">
      <w:pPr>
        <w:pStyle w:val="Prrafodelista"/>
        <w:numPr>
          <w:ilvl w:val="0"/>
          <w:numId w:val="1"/>
        </w:numPr>
        <w:kinsoku w:val="0"/>
        <w:overflowPunct w:val="0"/>
        <w:spacing w:line="256" w:lineRule="auto"/>
        <w:textAlignment w:val="baseline"/>
        <w:rPr>
          <w:rFonts w:asciiTheme="minorHAnsi" w:hAnsiTheme="minorHAnsi" w:cstheme="minorHAnsi"/>
          <w:sz w:val="22"/>
          <w:szCs w:val="22"/>
        </w:rPr>
      </w:pPr>
      <w:proofErr w:type="spellStart"/>
      <w:r w:rsidRPr="00F846BD">
        <w:rPr>
          <w:rFonts w:asciiTheme="minorHAnsi" w:eastAsia="Calibri" w:hAnsiTheme="minorHAnsi" w:cstheme="minorHAnsi"/>
          <w:kern w:val="24"/>
          <w:sz w:val="22"/>
          <w:szCs w:val="22"/>
        </w:rPr>
        <w:t>Thibodeau</w:t>
      </w:r>
      <w:proofErr w:type="spellEnd"/>
      <w:r w:rsidRPr="00F846BD">
        <w:rPr>
          <w:rFonts w:asciiTheme="minorHAnsi" w:eastAsia="Calibri" w:hAnsiTheme="minorHAnsi" w:cstheme="minorHAnsi"/>
          <w:kern w:val="24"/>
          <w:sz w:val="22"/>
          <w:szCs w:val="22"/>
        </w:rPr>
        <w:t xml:space="preserve">, G. y </w:t>
      </w:r>
      <w:proofErr w:type="spellStart"/>
      <w:r w:rsidRPr="00F846BD">
        <w:rPr>
          <w:rFonts w:asciiTheme="minorHAnsi" w:eastAsia="Calibri" w:hAnsiTheme="minorHAnsi" w:cstheme="minorHAnsi"/>
          <w:kern w:val="24"/>
          <w:sz w:val="22"/>
          <w:szCs w:val="22"/>
        </w:rPr>
        <w:t>Patton</w:t>
      </w:r>
      <w:proofErr w:type="spellEnd"/>
      <w:r w:rsidRPr="00F846BD">
        <w:rPr>
          <w:rFonts w:asciiTheme="minorHAnsi" w:eastAsia="Calibri" w:hAnsiTheme="minorHAnsi" w:cstheme="minorHAnsi"/>
          <w:kern w:val="24"/>
          <w:sz w:val="22"/>
          <w:szCs w:val="22"/>
        </w:rPr>
        <w:t xml:space="preserve">, K. (2012). Sistema linfático e inmunidad. En </w:t>
      </w:r>
      <w:r w:rsidRPr="00F846BD">
        <w:rPr>
          <w:rFonts w:asciiTheme="minorHAnsi" w:eastAsia="Calibri" w:hAnsiTheme="minorHAnsi" w:cstheme="minorHAnsi"/>
          <w:i/>
          <w:iCs/>
          <w:kern w:val="24"/>
          <w:sz w:val="22"/>
          <w:szCs w:val="22"/>
        </w:rPr>
        <w:t>Estructura y función del cuerpo humano.</w:t>
      </w:r>
      <w:r w:rsidRPr="00F846BD">
        <w:rPr>
          <w:rFonts w:asciiTheme="minorHAnsi" w:eastAsia="Calibri" w:hAnsiTheme="minorHAnsi" w:cstheme="minorHAnsi"/>
          <w:kern w:val="24"/>
          <w:sz w:val="22"/>
          <w:szCs w:val="22"/>
        </w:rPr>
        <w:t xml:space="preserve"> (14° Ed.). (301-322). Madrid, España: Elsevier.</w:t>
      </w:r>
    </w:p>
    <w:p w14:paraId="55C6FF0B" w14:textId="77777777" w:rsidR="00F846BD" w:rsidRPr="00F846BD" w:rsidRDefault="00F846BD" w:rsidP="00F846BD">
      <w:pPr>
        <w:pStyle w:val="Prrafodelista"/>
        <w:numPr>
          <w:ilvl w:val="0"/>
          <w:numId w:val="1"/>
        </w:numPr>
        <w:kinsoku w:val="0"/>
        <w:overflowPunct w:val="0"/>
        <w:spacing w:line="256" w:lineRule="auto"/>
        <w:textAlignment w:val="baseline"/>
        <w:rPr>
          <w:rFonts w:asciiTheme="minorHAnsi" w:hAnsiTheme="minorHAnsi" w:cstheme="minorHAnsi"/>
          <w:sz w:val="22"/>
          <w:szCs w:val="22"/>
        </w:rPr>
      </w:pPr>
      <w:proofErr w:type="spellStart"/>
      <w:r w:rsidRPr="00F846BD">
        <w:rPr>
          <w:rFonts w:asciiTheme="minorHAnsi" w:eastAsia="Calibri" w:hAnsiTheme="minorHAnsi" w:cstheme="minorHAnsi"/>
          <w:kern w:val="24"/>
          <w:sz w:val="22"/>
          <w:szCs w:val="22"/>
        </w:rPr>
        <w:t>Tórtora</w:t>
      </w:r>
      <w:proofErr w:type="spellEnd"/>
      <w:r w:rsidRPr="00F846BD">
        <w:rPr>
          <w:rFonts w:asciiTheme="minorHAnsi" w:eastAsia="Calibri" w:hAnsiTheme="minorHAnsi" w:cstheme="minorHAnsi"/>
          <w:kern w:val="24"/>
          <w:sz w:val="22"/>
          <w:szCs w:val="22"/>
        </w:rPr>
        <w:t xml:space="preserve">, G. y Derrickson, B. (2006). Aparato cardiovascular: la sangre. En </w:t>
      </w:r>
      <w:r w:rsidRPr="00F846BD">
        <w:rPr>
          <w:rFonts w:asciiTheme="minorHAnsi" w:eastAsia="Calibri" w:hAnsiTheme="minorHAnsi" w:cstheme="minorHAnsi"/>
          <w:i/>
          <w:iCs/>
          <w:kern w:val="24"/>
          <w:sz w:val="22"/>
          <w:szCs w:val="22"/>
        </w:rPr>
        <w:t>Principios de Anatomía y Fisiología.</w:t>
      </w:r>
      <w:r w:rsidRPr="00F846BD">
        <w:rPr>
          <w:rFonts w:asciiTheme="minorHAnsi" w:eastAsia="Calibri" w:hAnsiTheme="minorHAnsi" w:cstheme="minorHAnsi"/>
          <w:kern w:val="24"/>
          <w:sz w:val="22"/>
          <w:szCs w:val="22"/>
        </w:rPr>
        <w:t xml:space="preserve"> (13° Ed.). (728-734). México D.F., México: Editorial Médica Panamericana.</w:t>
      </w:r>
    </w:p>
    <w:p w14:paraId="4E332F46" w14:textId="2434B03A" w:rsidR="00F846BD" w:rsidRDefault="00F846BD" w:rsidP="00F41CCF">
      <w:pPr>
        <w:pStyle w:val="Prrafodelista"/>
        <w:numPr>
          <w:ilvl w:val="0"/>
          <w:numId w:val="1"/>
        </w:numPr>
        <w:kinsoku w:val="0"/>
        <w:overflowPunct w:val="0"/>
        <w:textAlignment w:val="baseline"/>
        <w:rPr>
          <w:sz w:val="32"/>
        </w:rPr>
      </w:pPr>
      <w:proofErr w:type="spellStart"/>
      <w:r w:rsidRPr="00F846BD">
        <w:rPr>
          <w:rFonts w:asciiTheme="minorHAnsi" w:eastAsia="Calibri" w:hAnsiTheme="minorHAnsi" w:cstheme="minorHAnsi"/>
          <w:kern w:val="24"/>
          <w:sz w:val="22"/>
          <w:szCs w:val="22"/>
        </w:rPr>
        <w:t>Zerga</w:t>
      </w:r>
      <w:proofErr w:type="spellEnd"/>
      <w:r w:rsidRPr="00F846BD">
        <w:rPr>
          <w:rFonts w:asciiTheme="minorHAnsi" w:eastAsia="Calibri" w:hAnsiTheme="minorHAnsi" w:cstheme="minorHAnsi"/>
          <w:kern w:val="24"/>
          <w:sz w:val="22"/>
          <w:szCs w:val="22"/>
        </w:rPr>
        <w:t xml:space="preserve">, M., Tartas, N., Ávalos, J., </w:t>
      </w:r>
      <w:proofErr w:type="spellStart"/>
      <w:r w:rsidRPr="00F846BD">
        <w:rPr>
          <w:rFonts w:asciiTheme="minorHAnsi" w:eastAsia="Calibri" w:hAnsiTheme="minorHAnsi" w:cstheme="minorHAnsi"/>
          <w:kern w:val="24"/>
          <w:sz w:val="22"/>
          <w:szCs w:val="22"/>
        </w:rPr>
        <w:t>Canale</w:t>
      </w:r>
      <w:proofErr w:type="spellEnd"/>
      <w:r w:rsidRPr="00F846BD">
        <w:rPr>
          <w:rFonts w:asciiTheme="minorHAnsi" w:eastAsia="Calibri" w:hAnsiTheme="minorHAnsi" w:cstheme="minorHAnsi"/>
          <w:kern w:val="24"/>
          <w:sz w:val="22"/>
          <w:szCs w:val="22"/>
        </w:rPr>
        <w:t xml:space="preserve">, M. y </w:t>
      </w:r>
      <w:proofErr w:type="spellStart"/>
      <w:r w:rsidRPr="00F846BD">
        <w:rPr>
          <w:rFonts w:asciiTheme="minorHAnsi" w:eastAsia="Calibri" w:hAnsiTheme="minorHAnsi" w:cstheme="minorHAnsi"/>
          <w:kern w:val="24"/>
          <w:sz w:val="22"/>
          <w:szCs w:val="22"/>
        </w:rPr>
        <w:t>Celano</w:t>
      </w:r>
      <w:proofErr w:type="spellEnd"/>
      <w:r w:rsidRPr="00F846BD">
        <w:rPr>
          <w:rFonts w:asciiTheme="minorHAnsi" w:eastAsia="Calibri" w:hAnsiTheme="minorHAnsi" w:cstheme="minorHAnsi"/>
          <w:kern w:val="24"/>
          <w:sz w:val="22"/>
          <w:szCs w:val="22"/>
        </w:rPr>
        <w:t xml:space="preserve">, C. (2015). </w:t>
      </w:r>
      <w:r w:rsidRPr="00F846BD">
        <w:rPr>
          <w:rFonts w:asciiTheme="minorHAnsi" w:eastAsia="Calibri" w:hAnsiTheme="minorHAnsi" w:cstheme="minorHAnsi"/>
          <w:i/>
          <w:iCs/>
          <w:kern w:val="24"/>
          <w:sz w:val="22"/>
          <w:szCs w:val="22"/>
        </w:rPr>
        <w:t>Manual de enfermería oncológica y oncohematológica.</w:t>
      </w:r>
      <w:r w:rsidRPr="00F846BD">
        <w:rPr>
          <w:rFonts w:asciiTheme="minorHAnsi" w:eastAsia="Calibri" w:hAnsiTheme="minorHAnsi" w:cstheme="minorHAnsi"/>
          <w:kern w:val="24"/>
          <w:sz w:val="22"/>
          <w:szCs w:val="22"/>
        </w:rPr>
        <w:t xml:space="preserve"> (1ra Ed.). (</w:t>
      </w:r>
      <w:proofErr w:type="spellStart"/>
      <w:r w:rsidRPr="00F846BD">
        <w:rPr>
          <w:rFonts w:asciiTheme="minorHAnsi" w:eastAsia="Calibri" w:hAnsiTheme="minorHAnsi" w:cstheme="minorHAnsi"/>
          <w:kern w:val="24"/>
          <w:sz w:val="22"/>
          <w:szCs w:val="22"/>
        </w:rPr>
        <w:t>pp</w:t>
      </w:r>
      <w:proofErr w:type="spellEnd"/>
      <w:r w:rsidRPr="00F846BD">
        <w:rPr>
          <w:rFonts w:asciiTheme="minorHAnsi" w:eastAsia="Calibri" w:hAnsiTheme="minorHAnsi" w:cstheme="minorHAnsi"/>
          <w:kern w:val="24"/>
          <w:sz w:val="22"/>
          <w:szCs w:val="22"/>
        </w:rPr>
        <w:t xml:space="preserve"> 67-98 ) Buenos Aires, Argentina:</w:t>
      </w:r>
      <w:r>
        <w:rPr>
          <w:rFonts w:asciiTheme="minorHAnsi" w:eastAsia="Calibri" w:hAnsiTheme="minorHAnsi" w:cstheme="minorHAnsi"/>
          <w:kern w:val="24"/>
          <w:sz w:val="22"/>
          <w:szCs w:val="22"/>
        </w:rPr>
        <w:t xml:space="preserve"> </w:t>
      </w:r>
      <w:r w:rsidRPr="00F846BD">
        <w:rPr>
          <w:rFonts w:asciiTheme="minorHAnsi" w:eastAsia="Calibri" w:hAnsiTheme="minorHAnsi" w:cstheme="minorHAnsi"/>
          <w:kern w:val="24"/>
          <w:sz w:val="22"/>
          <w:szCs w:val="22"/>
        </w:rPr>
        <w:t>Ediciones Científicas Argentinas</w:t>
      </w:r>
      <w:r>
        <w:rPr>
          <w:rFonts w:ascii="Arial" w:eastAsia="Calibri" w:hAnsi="Arial" w:cstheme="minorBidi"/>
          <w:color w:val="806000" w:themeColor="accent4" w:themeShade="80"/>
          <w:kern w:val="24"/>
          <w:sz w:val="32"/>
          <w:szCs w:val="32"/>
        </w:rPr>
        <w:t>.</w:t>
      </w:r>
    </w:p>
    <w:p w14:paraId="46ADAF36" w14:textId="77777777" w:rsidR="00A211B9" w:rsidRPr="00FB1761" w:rsidRDefault="00A211B9" w:rsidP="00FB1761"/>
    <w:sectPr w:rsidR="00A211B9" w:rsidRPr="00FB176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6D18A2"/>
    <w:multiLevelType w:val="hybridMultilevel"/>
    <w:tmpl w:val="54C6B42E"/>
    <w:lvl w:ilvl="0" w:tplc="BA9EB9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D61B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C7A24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0E87E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62A34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3EC80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CAA10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3049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BEDF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4808483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EDE"/>
    <w:rsid w:val="00001708"/>
    <w:rsid w:val="0021761C"/>
    <w:rsid w:val="0043750A"/>
    <w:rsid w:val="004B7CA5"/>
    <w:rsid w:val="0063223F"/>
    <w:rsid w:val="00745D01"/>
    <w:rsid w:val="0081400B"/>
    <w:rsid w:val="00947737"/>
    <w:rsid w:val="009F282F"/>
    <w:rsid w:val="00A211B9"/>
    <w:rsid w:val="00B51DDF"/>
    <w:rsid w:val="00C42EDE"/>
    <w:rsid w:val="00CE1D1A"/>
    <w:rsid w:val="00DD67EF"/>
    <w:rsid w:val="00F41CCF"/>
    <w:rsid w:val="00F846BD"/>
    <w:rsid w:val="00F906E4"/>
    <w:rsid w:val="00FB1761"/>
    <w:rsid w:val="00FC2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941BB"/>
  <w15:chartTrackingRefBased/>
  <w15:docId w15:val="{C11E7AFB-5845-41BE-BC2A-8DC72DCC0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846B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222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487904">
          <w:marLeft w:val="547"/>
          <w:marRight w:val="0"/>
          <w:marTop w:val="77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68980">
          <w:marLeft w:val="547"/>
          <w:marRight w:val="0"/>
          <w:marTop w:val="77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23212">
          <w:marLeft w:val="547"/>
          <w:marRight w:val="0"/>
          <w:marTop w:val="77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3500">
          <w:marLeft w:val="547"/>
          <w:marRight w:val="0"/>
          <w:marTop w:val="77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294</Words>
  <Characters>1297</Characters>
  <Application>Microsoft Office Word</Application>
  <DocSecurity>0</DocSecurity>
  <Lines>185</Lines>
  <Paragraphs>132</Paragraphs>
  <ScaleCrop>false</ScaleCrop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Nogales</dc:creator>
  <cp:keywords/>
  <dc:description/>
  <cp:lastModifiedBy>Miguel Nogales</cp:lastModifiedBy>
  <cp:revision>18</cp:revision>
  <dcterms:created xsi:type="dcterms:W3CDTF">2022-10-23T18:04:00Z</dcterms:created>
  <dcterms:modified xsi:type="dcterms:W3CDTF">2025-10-26T18:50:00Z</dcterms:modified>
</cp:coreProperties>
</file>