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Corrección - Actividad sobre Insulinas y Anticoagulantes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Guía de resolución fundamentada para docentes de Enfermería.</w:t>
      </w:r>
    </w:p>
    <w:p w:rsidR="00000000" w:rsidDel="00000000" w:rsidP="00000000" w:rsidRDefault="00000000" w:rsidRPr="00000000" w14:paraId="00000003">
      <w:pPr>
        <w:pStyle w:val="Heading2"/>
        <w:rPr/>
      </w:pPr>
      <w:r w:rsidDel="00000000" w:rsidR="00000000" w:rsidRPr="00000000">
        <w:rPr>
          <w:rtl w:val="0"/>
        </w:rPr>
        <w:t xml:space="preserve">Tabla comparativa de fármacos</w:t>
      </w:r>
    </w:p>
    <w:tbl>
      <w:tblPr>
        <w:tblStyle w:val="Table1"/>
        <w:tblW w:w="8640.0" w:type="dxa"/>
        <w:jc w:val="left"/>
        <w:tblInd w:w="-115.0" w:type="dxa"/>
        <w:tblLayout w:type="fixed"/>
        <w:tblLook w:val="0400"/>
      </w:tblPr>
      <w:tblGrid>
        <w:gridCol w:w="1440"/>
        <w:gridCol w:w="1440"/>
        <w:gridCol w:w="1440"/>
        <w:gridCol w:w="1440"/>
        <w:gridCol w:w="1440"/>
        <w:gridCol w:w="1440"/>
        <w:tblGridChange w:id="0">
          <w:tblGrid>
            <w:gridCol w:w="1440"/>
            <w:gridCol w:w="1440"/>
            <w:gridCol w:w="1440"/>
            <w:gridCol w:w="1440"/>
            <w:gridCol w:w="1440"/>
            <w:gridCol w:w="1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Fármaco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Tipo / Clasificación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Mecanismo de acción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Vía / Presentación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Inicio y duración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Cuidados de enfermería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Insulina Lispro / Aspart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Insulina NPH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Insulina Glargina / Detemir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Heparina sódica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Enoxaparina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Warfarina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Style w:val="Heading2"/>
        <w:rPr/>
      </w:pPr>
      <w:r w:rsidDel="00000000" w:rsidR="00000000" w:rsidRPr="00000000">
        <w:rPr>
          <w:rtl w:val="0"/>
        </w:rPr>
        <w:t xml:space="preserve">Caso 1 – Insulinas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Paciente con DM2 tratado con insulina NPH presenta hipoglucemia al mediodía.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Resolución: Coincide con el pico de acción (4–8 h). Probable omisión de comida. Controlar glucemia, administrar 15 g de hidratos simples, reevaluar y educar sobre signos de hipoglucemia.</w:t>
      </w:r>
    </w:p>
    <w:p w:rsidR="00000000" w:rsidDel="00000000" w:rsidP="00000000" w:rsidRDefault="00000000" w:rsidRPr="00000000" w14:paraId="00000031">
      <w:pPr>
        <w:pStyle w:val="Heading2"/>
        <w:rPr/>
      </w:pPr>
      <w:r w:rsidDel="00000000" w:rsidR="00000000" w:rsidRPr="00000000">
        <w:rPr>
          <w:rtl w:val="0"/>
        </w:rPr>
        <w:t xml:space="preserve">Caso 2 – Anticoagulantes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Paciente con warfarina y INR de 4,5 presenta epistaxis leve.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Resolución: INR elevado (riesgo de sangrado). Suspender dosis, controlar signos de hemorragia, notificar, y administrar vitamina K si corresponde.</w:t>
      </w:r>
    </w:p>
    <w:p w:rsidR="00000000" w:rsidDel="00000000" w:rsidP="00000000" w:rsidRDefault="00000000" w:rsidRPr="00000000" w14:paraId="00000034">
      <w:pPr>
        <w:pStyle w:val="Heading2"/>
        <w:rPr/>
      </w:pPr>
      <w:r w:rsidDel="00000000" w:rsidR="00000000" w:rsidRPr="00000000">
        <w:rPr>
          <w:rtl w:val="0"/>
        </w:rPr>
        <w:t xml:space="preserve">Comparación de roles enfermeros</w:t>
      </w:r>
    </w:p>
    <w:tbl>
      <w:tblPr>
        <w:tblStyle w:val="Table2"/>
        <w:tblW w:w="8640.0" w:type="dxa"/>
        <w:jc w:val="left"/>
        <w:tblInd w:w="-115.0" w:type="dxa"/>
        <w:tblLayout w:type="fixed"/>
        <w:tblLook w:val="04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Aspecto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Insulinas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Anticoagulantes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Control principal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Riesgo principal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Educación al paciente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Técnica de aplicación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Antídoto / urgencia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