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AA" w:rsidRDefault="001E405A" w:rsidP="001E405A">
      <w:pPr>
        <w:shd w:val="clear" w:color="auto" w:fill="B2A1C7" w:themeFill="accent4" w:themeFillTint="99"/>
        <w:jc w:val="center"/>
        <w:rPr>
          <w:b/>
          <w:i/>
          <w:sz w:val="28"/>
          <w:szCs w:val="28"/>
        </w:rPr>
      </w:pPr>
      <w:r w:rsidRPr="001E405A">
        <w:rPr>
          <w:b/>
          <w:i/>
          <w:sz w:val="28"/>
          <w:szCs w:val="28"/>
        </w:rPr>
        <w:t>¿Cómo aprobar Farmacología?</w:t>
      </w:r>
    </w:p>
    <w:p w:rsidR="001E405A" w:rsidRPr="001E405A" w:rsidRDefault="001E405A" w:rsidP="001E405A">
      <w:pPr>
        <w:jc w:val="center"/>
        <w:rPr>
          <w:b/>
          <w:i/>
          <w:sz w:val="28"/>
          <w:szCs w:val="28"/>
        </w:rPr>
      </w:pPr>
    </w:p>
    <w:p w:rsidR="001E405A" w:rsidRDefault="001E405A" w:rsidP="001E40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EVALUACIÓN Y PROMOCIÓN</w:t>
      </w:r>
    </w:p>
    <w:p w:rsidR="001E405A" w:rsidRDefault="001E405A" w:rsidP="001E405A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REGIMEN EVALUACIÓN PARCIAL</w:t>
      </w: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Se evaluará por medio de dos parciales, mediante un examen objetivo estructurado de selección múltiple o de temas a desarrollar.</w:t>
      </w: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RÉGIMEN DE EVALUACIÓN FINAL Y APROBACIÓN DE LA MATERIA:</w:t>
      </w: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El alumno que tenga los dos parciales aprobados y cumplido la asistencia al 75% de las clases será considerado regular y estará en condiciones de rendir el examen final.</w:t>
      </w: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La evaluación final será escrita, mediante un examen objetivo estructurado de selección múltiple o de temas a desarrollar.  </w:t>
      </w: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1E405A" w:rsidRDefault="001E405A" w:rsidP="001E405A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1E405A" w:rsidRDefault="001E405A"/>
    <w:sectPr w:rsidR="001E405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5A"/>
    <w:rsid w:val="001E405A"/>
    <w:rsid w:val="00D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</dc:creator>
  <cp:lastModifiedBy>Walter</cp:lastModifiedBy>
  <cp:revision>1</cp:revision>
  <dcterms:created xsi:type="dcterms:W3CDTF">2026-03-25T02:35:00Z</dcterms:created>
  <dcterms:modified xsi:type="dcterms:W3CDTF">2026-03-25T02:36:00Z</dcterms:modified>
</cp:coreProperties>
</file>