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28F6" w:rsidRPr="00AF5958" w:rsidRDefault="00A428F6" w:rsidP="00A428F6">
      <w:pPr>
        <w:spacing w:after="0" w:line="240" w:lineRule="atLeast"/>
        <w:jc w:val="center"/>
        <w:rPr>
          <w:rFonts w:ascii="Arial" w:hAnsi="Arial" w:cs="Arial"/>
        </w:rPr>
      </w:pPr>
      <w:r>
        <w:rPr>
          <w:rFonts w:ascii="Arial" w:hAnsi="Arial" w:cs="Arial"/>
          <w:b/>
        </w:rPr>
        <w:t xml:space="preserve">MODELO </w:t>
      </w:r>
      <w:r w:rsidRPr="00AF5958">
        <w:rPr>
          <w:rFonts w:ascii="Arial" w:hAnsi="Arial" w:cs="Arial"/>
          <w:b/>
        </w:rPr>
        <w:t>2° PARCIAL INTRODUCCIÓN AL IDIOMA INGLÉS</w:t>
      </w:r>
    </w:p>
    <w:p w:rsidR="00A428F6" w:rsidRDefault="00A428F6" w:rsidP="00A428F6">
      <w:pPr>
        <w:spacing w:after="0" w:line="240" w:lineRule="atLeast"/>
        <w:rPr>
          <w:rFonts w:ascii="Arial" w:hAnsi="Arial" w:cs="Arial"/>
          <w:sz w:val="18"/>
          <w:szCs w:val="18"/>
        </w:rPr>
      </w:pPr>
    </w:p>
    <w:p w:rsidR="00A428F6" w:rsidRPr="00AF5958" w:rsidRDefault="00A428F6" w:rsidP="00A428F6">
      <w:pPr>
        <w:spacing w:after="0" w:line="240" w:lineRule="atLeast"/>
        <w:rPr>
          <w:rFonts w:ascii="Arial" w:hAnsi="Arial" w:cs="Arial"/>
          <w:sz w:val="18"/>
          <w:szCs w:val="18"/>
        </w:rPr>
      </w:pPr>
      <w:r w:rsidRPr="00AF5958">
        <w:rPr>
          <w:rFonts w:ascii="Arial" w:hAnsi="Arial" w:cs="Arial"/>
          <w:sz w:val="18"/>
          <w:szCs w:val="18"/>
        </w:rPr>
        <w:t xml:space="preserve">DOCENTE: Mg. Natalia </w:t>
      </w:r>
      <w:proofErr w:type="spellStart"/>
      <w:r w:rsidRPr="00AF5958">
        <w:rPr>
          <w:rFonts w:ascii="Arial" w:hAnsi="Arial" w:cs="Arial"/>
          <w:sz w:val="18"/>
          <w:szCs w:val="18"/>
        </w:rPr>
        <w:t>Bron</w:t>
      </w:r>
      <w:proofErr w:type="spellEnd"/>
      <w:r w:rsidRPr="00AF5958">
        <w:rPr>
          <w:rFonts w:ascii="Arial" w:hAnsi="Arial" w:cs="Arial"/>
          <w:sz w:val="18"/>
          <w:szCs w:val="18"/>
        </w:rPr>
        <w:t xml:space="preserve"> </w:t>
      </w:r>
    </w:p>
    <w:p w:rsidR="00A428F6" w:rsidRPr="00AF5958" w:rsidRDefault="00A428F6" w:rsidP="00A428F6">
      <w:pPr>
        <w:pBdr>
          <w:top w:val="single" w:sz="4" w:space="1" w:color="auto"/>
          <w:left w:val="single" w:sz="4" w:space="4" w:color="auto"/>
          <w:bottom w:val="single" w:sz="4" w:space="1" w:color="auto"/>
          <w:right w:val="single" w:sz="4" w:space="4" w:color="auto"/>
        </w:pBdr>
        <w:spacing w:line="240" w:lineRule="auto"/>
        <w:jc w:val="both"/>
        <w:rPr>
          <w:rFonts w:ascii="Arial" w:hAnsi="Arial" w:cs="Arial"/>
          <w:b/>
          <w:lang w:val="es-ES"/>
        </w:rPr>
      </w:pPr>
      <w:r w:rsidRPr="00AF5958">
        <w:rPr>
          <w:rFonts w:ascii="Arial" w:hAnsi="Arial" w:cs="Arial"/>
          <w:b/>
          <w:lang w:val="es-ES"/>
        </w:rPr>
        <w:t xml:space="preserve">El examen consta de </w:t>
      </w:r>
      <w:r>
        <w:rPr>
          <w:rFonts w:ascii="Arial" w:hAnsi="Arial" w:cs="Arial"/>
          <w:b/>
          <w:highlight w:val="yellow"/>
          <w:lang w:val="es-ES"/>
        </w:rPr>
        <w:t>2</w:t>
      </w:r>
      <w:r w:rsidRPr="00AF5958">
        <w:rPr>
          <w:rFonts w:ascii="Arial" w:hAnsi="Arial" w:cs="Arial"/>
          <w:b/>
          <w:highlight w:val="yellow"/>
          <w:lang w:val="es-ES"/>
        </w:rPr>
        <w:t xml:space="preserve"> CONSIGNAS</w:t>
      </w:r>
      <w:r w:rsidRPr="00AF5958">
        <w:rPr>
          <w:rFonts w:ascii="Arial" w:hAnsi="Arial" w:cs="Arial"/>
          <w:b/>
          <w:lang w:val="es-ES"/>
        </w:rPr>
        <w:t xml:space="preserve"> para ser realizadas </w:t>
      </w:r>
      <w:r w:rsidRPr="00AF5958">
        <w:rPr>
          <w:rFonts w:ascii="Arial" w:hAnsi="Arial" w:cs="Arial"/>
          <w:b/>
          <w:u w:val="single"/>
          <w:lang w:val="es-ES"/>
        </w:rPr>
        <w:t>en español</w:t>
      </w:r>
      <w:r w:rsidRPr="00AF5958">
        <w:rPr>
          <w:rFonts w:ascii="Arial" w:hAnsi="Arial" w:cs="Arial"/>
          <w:b/>
          <w:lang w:val="es-ES"/>
        </w:rPr>
        <w:t>.</w:t>
      </w:r>
    </w:p>
    <w:p w:rsidR="00A428F6" w:rsidRPr="00AF5958" w:rsidRDefault="00A428F6" w:rsidP="00A428F6">
      <w:pPr>
        <w:pBdr>
          <w:bottom w:val="single" w:sz="4" w:space="1" w:color="auto"/>
        </w:pBdr>
        <w:ind w:left="113"/>
        <w:jc w:val="both"/>
        <w:rPr>
          <w:rFonts w:ascii="Arial" w:hAnsi="Arial" w:cs="Arial"/>
          <w:b/>
        </w:rPr>
      </w:pPr>
      <w:r w:rsidRPr="00AF5958">
        <w:rPr>
          <w:rFonts w:ascii="Arial" w:hAnsi="Arial" w:cs="Arial"/>
          <w:b/>
        </w:rPr>
        <w:t>Puntaje total del Examen: ……/10</w:t>
      </w:r>
    </w:p>
    <w:p w:rsidR="00A428F6" w:rsidRPr="00AF5958" w:rsidRDefault="00A428F6" w:rsidP="00A428F6">
      <w:pPr>
        <w:ind w:left="360"/>
        <w:jc w:val="both"/>
        <w:rPr>
          <w:rFonts w:ascii="Arial" w:hAnsi="Arial" w:cs="Arial"/>
          <w:b/>
        </w:rPr>
      </w:pPr>
      <w:r w:rsidRPr="00AF5958">
        <w:rPr>
          <w:rFonts w:ascii="Arial" w:hAnsi="Arial" w:cs="Arial"/>
          <w:b/>
          <w:highlight w:val="yellow"/>
        </w:rPr>
        <w:t>CONSIGNA 1:</w:t>
      </w:r>
      <w:r w:rsidRPr="00AF5958">
        <w:rPr>
          <w:rFonts w:ascii="Arial" w:hAnsi="Arial" w:cs="Arial"/>
          <w:b/>
        </w:rPr>
        <w:t xml:space="preserve"> </w:t>
      </w:r>
      <w:proofErr w:type="spellStart"/>
      <w:r w:rsidRPr="00AF5958">
        <w:rPr>
          <w:rFonts w:ascii="Arial" w:hAnsi="Arial" w:cs="Arial"/>
          <w:b/>
        </w:rPr>
        <w:t>Strategic</w:t>
      </w:r>
      <w:proofErr w:type="spellEnd"/>
      <w:r w:rsidRPr="00AF5958">
        <w:rPr>
          <w:rFonts w:ascii="Arial" w:hAnsi="Arial" w:cs="Arial"/>
          <w:b/>
        </w:rPr>
        <w:t xml:space="preserve"> Reading </w:t>
      </w:r>
      <w:proofErr w:type="spellStart"/>
      <w:r w:rsidRPr="00AF5958">
        <w:rPr>
          <w:rFonts w:ascii="Arial" w:hAnsi="Arial" w:cs="Arial"/>
          <w:b/>
        </w:rPr>
        <w:t>Comprehension</w:t>
      </w:r>
      <w:proofErr w:type="spellEnd"/>
      <w:r w:rsidRPr="00AF5958">
        <w:rPr>
          <w:rFonts w:ascii="Arial" w:hAnsi="Arial" w:cs="Arial"/>
          <w:b/>
        </w:rPr>
        <w:t xml:space="preserve"> (Puntaje parcial: ... /4) </w:t>
      </w:r>
    </w:p>
    <w:p w:rsidR="00A428F6" w:rsidRPr="00EA2564" w:rsidRDefault="00A428F6" w:rsidP="00A428F6">
      <w:pPr>
        <w:pStyle w:val="Prrafodelista"/>
        <w:numPr>
          <w:ilvl w:val="0"/>
          <w:numId w:val="1"/>
        </w:numPr>
        <w:jc w:val="both"/>
        <w:rPr>
          <w:rFonts w:ascii="Arial" w:hAnsi="Arial" w:cs="Arial"/>
          <w:b/>
          <w:lang w:val="en-GB"/>
        </w:rPr>
      </w:pPr>
      <w:r w:rsidRPr="0068753E">
        <w:rPr>
          <w:rFonts w:ascii="Arial" w:hAnsi="Arial" w:cs="Arial"/>
          <w:b/>
          <w:bCs/>
          <w:lang w:val="en-GB"/>
        </w:rPr>
        <w:t>Read</w:t>
      </w:r>
      <w:r w:rsidRPr="00AF5958">
        <w:rPr>
          <w:rFonts w:ascii="Arial" w:hAnsi="Arial" w:cs="Arial"/>
          <w:lang w:val="en-GB"/>
        </w:rPr>
        <w:t xml:space="preserve"> the Medication Advert below strategically. </w:t>
      </w:r>
      <w:r w:rsidRPr="0068753E">
        <w:rPr>
          <w:rFonts w:ascii="Arial" w:hAnsi="Arial" w:cs="Arial"/>
          <w:b/>
          <w:bCs/>
          <w:lang w:val="en-GB"/>
        </w:rPr>
        <w:t>Select</w:t>
      </w:r>
      <w:r w:rsidRPr="00AF5958">
        <w:rPr>
          <w:rFonts w:ascii="Arial" w:hAnsi="Arial" w:cs="Arial"/>
          <w:lang w:val="en-GB"/>
        </w:rPr>
        <w:t xml:space="preserve"> </w:t>
      </w:r>
      <w:r w:rsidRPr="00EA2564">
        <w:rPr>
          <w:rFonts w:ascii="Arial" w:hAnsi="Arial" w:cs="Arial"/>
          <w:b/>
          <w:lang w:val="en-GB"/>
        </w:rPr>
        <w:t>15 KEY WORDS</w:t>
      </w:r>
      <w:r w:rsidRPr="00AF5958">
        <w:rPr>
          <w:rFonts w:ascii="Arial" w:hAnsi="Arial" w:cs="Arial"/>
          <w:lang w:val="en-GB"/>
        </w:rPr>
        <w:t xml:space="preserve"> and </w:t>
      </w:r>
      <w:r>
        <w:rPr>
          <w:rFonts w:ascii="Arial" w:hAnsi="Arial" w:cs="Arial"/>
          <w:lang w:val="en-GB"/>
        </w:rPr>
        <w:t xml:space="preserve">then </w:t>
      </w:r>
      <w:r w:rsidRPr="00AF5958">
        <w:rPr>
          <w:rFonts w:ascii="Arial" w:hAnsi="Arial" w:cs="Arial"/>
          <w:lang w:val="en-GB"/>
        </w:rPr>
        <w:t>fill in the following chart with the important information detected</w:t>
      </w:r>
      <w:r>
        <w:rPr>
          <w:rFonts w:ascii="Arial" w:hAnsi="Arial" w:cs="Arial"/>
          <w:lang w:val="en-GB"/>
        </w:rPr>
        <w:t xml:space="preserve"> in </w:t>
      </w:r>
      <w:r w:rsidRPr="00A428F6">
        <w:rPr>
          <w:rFonts w:ascii="Arial" w:hAnsi="Arial" w:cs="Arial"/>
          <w:b/>
          <w:u w:val="single"/>
          <w:lang w:val="en-GB"/>
        </w:rPr>
        <w:t>SPANISH</w:t>
      </w:r>
      <w:r w:rsidRPr="00EA2564">
        <w:rPr>
          <w:rFonts w:ascii="Arial" w:hAnsi="Arial" w:cs="Arial"/>
          <w:b/>
          <w:lang w:val="en-GB"/>
        </w:rPr>
        <w:t>:</w:t>
      </w:r>
    </w:p>
    <w:p w:rsidR="00A428F6" w:rsidRPr="00C1048C" w:rsidRDefault="00A428F6" w:rsidP="00A428F6">
      <w:pPr>
        <w:pStyle w:val="Prrafodelista"/>
        <w:spacing w:line="360" w:lineRule="auto"/>
        <w:rPr>
          <w:rFonts w:ascii="Times New Roman" w:hAnsi="Times New Roman" w:cs="Times New Roman"/>
          <w:b/>
          <w:sz w:val="24"/>
          <w:szCs w:val="24"/>
          <w:lang w:val="en-GB"/>
        </w:rPr>
      </w:pPr>
    </w:p>
    <w:p w:rsidR="00A428F6" w:rsidRPr="00BB0634" w:rsidRDefault="00A428F6" w:rsidP="00A428F6">
      <w:pPr>
        <w:pStyle w:val="Prrafodelista"/>
        <w:numPr>
          <w:ilvl w:val="0"/>
          <w:numId w:val="2"/>
        </w:numPr>
        <w:pBdr>
          <w:top w:val="single" w:sz="4" w:space="1" w:color="auto"/>
          <w:left w:val="single" w:sz="4" w:space="4" w:color="auto"/>
          <w:bottom w:val="single" w:sz="4" w:space="3" w:color="auto"/>
          <w:right w:val="single" w:sz="4" w:space="4" w:color="auto"/>
        </w:pBdr>
        <w:spacing w:after="160" w:line="360" w:lineRule="auto"/>
        <w:rPr>
          <w:rFonts w:ascii="Arial" w:hAnsi="Arial" w:cs="Arial"/>
          <w:lang w:val="en-GB"/>
        </w:rPr>
      </w:pPr>
      <w:r w:rsidRPr="00BB0634">
        <w:rPr>
          <w:rFonts w:ascii="Arial" w:hAnsi="Arial" w:cs="Arial"/>
          <w:lang w:val="en-GB"/>
        </w:rPr>
        <w:t>COMMERCIAL NAME:</w:t>
      </w:r>
      <w:bookmarkStart w:id="0" w:name="_GoBack"/>
      <w:bookmarkEnd w:id="0"/>
    </w:p>
    <w:p w:rsidR="00A428F6" w:rsidRPr="00BB0634" w:rsidRDefault="00A428F6" w:rsidP="00A428F6">
      <w:pPr>
        <w:pStyle w:val="Prrafodelista"/>
        <w:numPr>
          <w:ilvl w:val="0"/>
          <w:numId w:val="2"/>
        </w:numPr>
        <w:pBdr>
          <w:top w:val="single" w:sz="4" w:space="1" w:color="auto"/>
          <w:left w:val="single" w:sz="4" w:space="4" w:color="auto"/>
          <w:bottom w:val="single" w:sz="4" w:space="3" w:color="auto"/>
          <w:right w:val="single" w:sz="4" w:space="4" w:color="auto"/>
        </w:pBdr>
        <w:spacing w:after="160" w:line="360" w:lineRule="auto"/>
        <w:rPr>
          <w:rFonts w:ascii="Arial" w:hAnsi="Arial" w:cs="Arial"/>
          <w:lang w:val="en-GB"/>
        </w:rPr>
      </w:pPr>
      <w:r>
        <w:rPr>
          <w:rFonts w:ascii="Arial" w:hAnsi="Arial" w:cs="Arial"/>
          <w:lang w:val="en-GB"/>
        </w:rPr>
        <w:t>DRUG</w:t>
      </w:r>
      <w:r w:rsidRPr="00BB0634">
        <w:rPr>
          <w:rFonts w:ascii="Arial" w:hAnsi="Arial" w:cs="Arial"/>
          <w:lang w:val="en-GB"/>
        </w:rPr>
        <w:t xml:space="preserve">: </w:t>
      </w:r>
    </w:p>
    <w:p w:rsidR="00A428F6" w:rsidRPr="00BB0634" w:rsidRDefault="00A428F6" w:rsidP="00A428F6">
      <w:pPr>
        <w:pStyle w:val="Prrafodelista"/>
        <w:numPr>
          <w:ilvl w:val="0"/>
          <w:numId w:val="2"/>
        </w:numPr>
        <w:pBdr>
          <w:top w:val="single" w:sz="4" w:space="1" w:color="auto"/>
          <w:left w:val="single" w:sz="4" w:space="4" w:color="auto"/>
          <w:bottom w:val="single" w:sz="4" w:space="3" w:color="auto"/>
          <w:right w:val="single" w:sz="4" w:space="4" w:color="auto"/>
        </w:pBdr>
        <w:spacing w:after="160" w:line="360" w:lineRule="auto"/>
        <w:rPr>
          <w:rFonts w:ascii="Arial" w:hAnsi="Arial" w:cs="Arial"/>
          <w:lang w:val="en-GB"/>
        </w:rPr>
      </w:pPr>
      <w:r w:rsidRPr="00BB0634">
        <w:rPr>
          <w:rFonts w:ascii="Arial" w:hAnsi="Arial" w:cs="Arial"/>
          <w:lang w:val="en-GB"/>
        </w:rPr>
        <w:t>AVAILABLE FORMAT</w:t>
      </w:r>
      <w:r>
        <w:rPr>
          <w:rFonts w:ascii="Arial" w:hAnsi="Arial" w:cs="Arial"/>
          <w:lang w:val="en-GB"/>
        </w:rPr>
        <w:t>/S</w:t>
      </w:r>
      <w:r w:rsidRPr="00BB0634">
        <w:rPr>
          <w:rFonts w:ascii="Arial" w:hAnsi="Arial" w:cs="Arial"/>
          <w:lang w:val="en-GB"/>
        </w:rPr>
        <w:t>:</w:t>
      </w:r>
    </w:p>
    <w:p w:rsidR="00A428F6" w:rsidRPr="00BB0634" w:rsidRDefault="00A428F6" w:rsidP="00A428F6">
      <w:pPr>
        <w:pStyle w:val="Prrafodelista"/>
        <w:numPr>
          <w:ilvl w:val="0"/>
          <w:numId w:val="2"/>
        </w:numPr>
        <w:pBdr>
          <w:top w:val="single" w:sz="4" w:space="1" w:color="auto"/>
          <w:left w:val="single" w:sz="4" w:space="4" w:color="auto"/>
          <w:bottom w:val="single" w:sz="4" w:space="3" w:color="auto"/>
          <w:right w:val="single" w:sz="4" w:space="4" w:color="auto"/>
        </w:pBdr>
        <w:spacing w:after="160" w:line="360" w:lineRule="auto"/>
        <w:rPr>
          <w:rFonts w:ascii="Arial" w:hAnsi="Arial" w:cs="Arial"/>
          <w:lang w:val="en-GB"/>
        </w:rPr>
      </w:pPr>
      <w:r w:rsidRPr="00BB0634">
        <w:rPr>
          <w:rFonts w:ascii="Arial" w:hAnsi="Arial" w:cs="Arial"/>
          <w:lang w:val="en-GB"/>
        </w:rPr>
        <w:t>TREATMENT:</w:t>
      </w:r>
    </w:p>
    <w:p w:rsidR="00A428F6" w:rsidRPr="00BB0634" w:rsidRDefault="00A428F6" w:rsidP="00A428F6">
      <w:pPr>
        <w:pStyle w:val="Prrafodelista"/>
        <w:numPr>
          <w:ilvl w:val="0"/>
          <w:numId w:val="2"/>
        </w:numPr>
        <w:pBdr>
          <w:top w:val="single" w:sz="4" w:space="1" w:color="auto"/>
          <w:left w:val="single" w:sz="4" w:space="4" w:color="auto"/>
          <w:bottom w:val="single" w:sz="4" w:space="3" w:color="auto"/>
          <w:right w:val="single" w:sz="4" w:space="4" w:color="auto"/>
        </w:pBdr>
        <w:spacing w:after="160" w:line="360" w:lineRule="auto"/>
        <w:rPr>
          <w:rFonts w:ascii="Arial" w:hAnsi="Arial" w:cs="Arial"/>
          <w:lang w:val="en-GB"/>
        </w:rPr>
      </w:pPr>
      <w:r w:rsidRPr="00BB0634">
        <w:rPr>
          <w:rFonts w:ascii="Arial" w:hAnsi="Arial" w:cs="Arial"/>
          <w:lang w:val="en-GB"/>
        </w:rPr>
        <w:t>TARGET PATIENT</w:t>
      </w:r>
      <w:r>
        <w:rPr>
          <w:rFonts w:ascii="Arial" w:hAnsi="Arial" w:cs="Arial"/>
          <w:lang w:val="en-GB"/>
        </w:rPr>
        <w:t>/AGE</w:t>
      </w:r>
      <w:r w:rsidRPr="00BB0634">
        <w:rPr>
          <w:rFonts w:ascii="Arial" w:hAnsi="Arial" w:cs="Arial"/>
          <w:lang w:val="en-GB"/>
        </w:rPr>
        <w:t>:</w:t>
      </w:r>
    </w:p>
    <w:p w:rsidR="00A428F6" w:rsidRDefault="00A428F6" w:rsidP="00A428F6">
      <w:pPr>
        <w:pStyle w:val="Prrafodelista"/>
        <w:numPr>
          <w:ilvl w:val="0"/>
          <w:numId w:val="2"/>
        </w:numPr>
        <w:pBdr>
          <w:top w:val="single" w:sz="4" w:space="1" w:color="auto"/>
          <w:left w:val="single" w:sz="4" w:space="4" w:color="auto"/>
          <w:bottom w:val="single" w:sz="4" w:space="3" w:color="auto"/>
          <w:right w:val="single" w:sz="4" w:space="4" w:color="auto"/>
        </w:pBdr>
        <w:spacing w:after="160" w:line="360" w:lineRule="auto"/>
        <w:rPr>
          <w:rFonts w:ascii="Arial" w:hAnsi="Arial" w:cs="Arial"/>
          <w:lang w:val="en-GB"/>
        </w:rPr>
      </w:pPr>
      <w:r w:rsidRPr="00BB0634">
        <w:rPr>
          <w:rFonts w:ascii="Arial" w:hAnsi="Arial" w:cs="Arial"/>
          <w:lang w:val="en-GB"/>
        </w:rPr>
        <w:t>SIDE EFFECTS:</w:t>
      </w:r>
    </w:p>
    <w:p w:rsidR="00A428F6" w:rsidRPr="00BB0634" w:rsidRDefault="00A428F6" w:rsidP="00A428F6">
      <w:pPr>
        <w:pStyle w:val="Prrafodelista"/>
        <w:numPr>
          <w:ilvl w:val="0"/>
          <w:numId w:val="2"/>
        </w:numPr>
        <w:pBdr>
          <w:top w:val="single" w:sz="4" w:space="1" w:color="auto"/>
          <w:left w:val="single" w:sz="4" w:space="4" w:color="auto"/>
          <w:bottom w:val="single" w:sz="4" w:space="3" w:color="auto"/>
          <w:right w:val="single" w:sz="4" w:space="4" w:color="auto"/>
        </w:pBdr>
        <w:spacing w:after="160" w:line="360" w:lineRule="auto"/>
        <w:rPr>
          <w:rFonts w:ascii="Arial" w:hAnsi="Arial" w:cs="Arial"/>
          <w:lang w:val="en-GB"/>
        </w:rPr>
      </w:pPr>
      <w:r>
        <w:rPr>
          <w:rFonts w:ascii="Arial" w:hAnsi="Arial" w:cs="Arial"/>
          <w:lang w:val="en-GB"/>
        </w:rPr>
        <w:t xml:space="preserve">NOT TO BE TAKEN BY: </w:t>
      </w:r>
    </w:p>
    <w:p w:rsidR="00A428F6" w:rsidRPr="00C1048C" w:rsidRDefault="00A428F6" w:rsidP="00A428F6">
      <w:pPr>
        <w:pStyle w:val="Prrafodelista"/>
        <w:numPr>
          <w:ilvl w:val="0"/>
          <w:numId w:val="2"/>
        </w:numPr>
        <w:pBdr>
          <w:top w:val="single" w:sz="4" w:space="1" w:color="auto"/>
          <w:left w:val="single" w:sz="4" w:space="4" w:color="auto"/>
          <w:bottom w:val="single" w:sz="4" w:space="3" w:color="auto"/>
          <w:right w:val="single" w:sz="4" w:space="4" w:color="auto"/>
        </w:pBdr>
        <w:spacing w:after="160" w:line="360" w:lineRule="auto"/>
        <w:rPr>
          <w:rFonts w:ascii="Arial" w:hAnsi="Arial" w:cs="Arial"/>
          <w:lang w:val="en-GB"/>
        </w:rPr>
      </w:pPr>
      <w:r w:rsidRPr="00C1048C">
        <w:rPr>
          <w:rFonts w:ascii="Arial" w:hAnsi="Arial" w:cs="Arial"/>
          <w:lang w:val="en-GB"/>
        </w:rPr>
        <w:t xml:space="preserve">OTHER/S: </w:t>
      </w:r>
    </w:p>
    <w:p w:rsidR="00A428F6" w:rsidRDefault="00A428F6" w:rsidP="00A428F6">
      <w:pPr>
        <w:pStyle w:val="Prrafodelista"/>
        <w:rPr>
          <w:rFonts w:ascii="Arial" w:hAnsi="Arial" w:cs="Arial"/>
          <w:b/>
          <w:sz w:val="20"/>
          <w:szCs w:val="20"/>
        </w:rPr>
      </w:pPr>
    </w:p>
    <w:p w:rsidR="00A428F6" w:rsidRPr="00577AC1" w:rsidRDefault="00A428F6" w:rsidP="00A428F6">
      <w:pPr>
        <w:pStyle w:val="Prrafodelista"/>
        <w:jc w:val="both"/>
        <w:rPr>
          <w:rFonts w:ascii="Verdana" w:hAnsi="Verdana"/>
          <w:color w:val="000000"/>
          <w:sz w:val="20"/>
          <w:szCs w:val="20"/>
          <w:shd w:val="clear" w:color="auto" w:fill="F5F5F5"/>
          <w:lang w:val="en-GB"/>
        </w:rPr>
      </w:pPr>
      <w:r>
        <w:rPr>
          <w:noProof/>
          <w:lang w:eastAsia="es-AR"/>
        </w:rPr>
        <w:drawing>
          <wp:inline distT="0" distB="0" distL="0" distR="0" wp14:anchorId="68573081" wp14:editId="73ECAC90">
            <wp:extent cx="2647950" cy="1476203"/>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60682" cy="1483301"/>
                    </a:xfrm>
                    <a:prstGeom prst="rect">
                      <a:avLst/>
                    </a:prstGeom>
                    <a:noFill/>
                    <a:ln>
                      <a:noFill/>
                    </a:ln>
                  </pic:spPr>
                </pic:pic>
              </a:graphicData>
            </a:graphic>
          </wp:inline>
        </w:drawing>
      </w:r>
      <w:r w:rsidRPr="00577AC1">
        <w:rPr>
          <w:rFonts w:ascii="Arial" w:hAnsi="Arial" w:cs="Arial"/>
          <w:b/>
          <w:sz w:val="20"/>
          <w:szCs w:val="20"/>
          <w:lang w:val="en-GB"/>
        </w:rPr>
        <w:t xml:space="preserve">   </w:t>
      </w:r>
      <w:proofErr w:type="spellStart"/>
      <w:r w:rsidRPr="00577AC1">
        <w:rPr>
          <w:rFonts w:ascii="Verdana" w:hAnsi="Verdana"/>
          <w:color w:val="000000"/>
          <w:sz w:val="20"/>
          <w:szCs w:val="20"/>
          <w:shd w:val="clear" w:color="auto" w:fill="F5F5F5"/>
          <w:lang w:val="en-GB"/>
        </w:rPr>
        <w:t>Exforge</w:t>
      </w:r>
      <w:proofErr w:type="spellEnd"/>
      <w:r w:rsidRPr="00577AC1">
        <w:rPr>
          <w:rFonts w:ascii="Verdana" w:hAnsi="Verdana"/>
          <w:color w:val="000000"/>
          <w:sz w:val="20"/>
          <w:szCs w:val="20"/>
          <w:shd w:val="clear" w:color="auto" w:fill="F5F5F5"/>
          <w:lang w:val="en-GB"/>
        </w:rPr>
        <w:t xml:space="preserve"> is a medicine that contains two </w:t>
      </w:r>
      <w:hyperlink r:id="rId6" w:tgtFrame="_blank" w:tooltip="The substance responsible for the activity of a medicine." w:history="1">
        <w:r w:rsidRPr="00577AC1">
          <w:rPr>
            <w:rStyle w:val="Hipervnculo"/>
            <w:rFonts w:ascii="Verdana" w:hAnsi="Verdana"/>
            <w:color w:val="000000"/>
            <w:sz w:val="20"/>
            <w:szCs w:val="20"/>
            <w:u w:val="none"/>
            <w:shd w:val="clear" w:color="auto" w:fill="F5F5F5"/>
            <w:lang w:val="en-GB"/>
          </w:rPr>
          <w:t>active substances</w:t>
        </w:r>
      </w:hyperlink>
      <w:r w:rsidRPr="00577AC1">
        <w:rPr>
          <w:rFonts w:ascii="Verdana" w:hAnsi="Verdana"/>
          <w:color w:val="000000"/>
          <w:sz w:val="20"/>
          <w:szCs w:val="20"/>
          <w:shd w:val="clear" w:color="auto" w:fill="F5F5F5"/>
          <w:lang w:val="en-GB"/>
        </w:rPr>
        <w:t>, amlodipine and valsartan. It is available as tablets (5 mg amlodipine and 80 mg valsartan; 5 mg amlodipine and 160 mg valsartan; 10 mg amlodipine and 160 mg valsartan).</w:t>
      </w:r>
    </w:p>
    <w:p w:rsidR="00A428F6" w:rsidRPr="00577AC1" w:rsidRDefault="00A428F6" w:rsidP="00A428F6">
      <w:pPr>
        <w:pStyle w:val="NormalWeb"/>
        <w:shd w:val="clear" w:color="auto" w:fill="F5F5F5"/>
        <w:jc w:val="both"/>
        <w:rPr>
          <w:rFonts w:ascii="Verdana" w:hAnsi="Verdana"/>
          <w:color w:val="000000"/>
          <w:sz w:val="20"/>
          <w:szCs w:val="20"/>
          <w:lang w:val="en-GB"/>
        </w:rPr>
      </w:pPr>
      <w:proofErr w:type="spellStart"/>
      <w:r w:rsidRPr="00577AC1">
        <w:rPr>
          <w:rFonts w:ascii="Verdana" w:hAnsi="Verdana"/>
          <w:color w:val="000000"/>
          <w:sz w:val="20"/>
          <w:szCs w:val="20"/>
          <w:lang w:val="en-GB"/>
        </w:rPr>
        <w:t>Exforge</w:t>
      </w:r>
      <w:proofErr w:type="spellEnd"/>
      <w:r w:rsidRPr="00577AC1">
        <w:rPr>
          <w:rFonts w:ascii="Verdana" w:hAnsi="Verdana"/>
          <w:color w:val="000000"/>
          <w:sz w:val="20"/>
          <w:szCs w:val="20"/>
          <w:lang w:val="en-GB"/>
        </w:rPr>
        <w:t xml:space="preserve"> is used in patients who have essential hypertension (high blood pressure) that is not adequately controlled on either amlodipine or valsartan taken alone. ‘Essential’ means that the hypertension has no obvious cause.</w:t>
      </w:r>
    </w:p>
    <w:p w:rsidR="00A428F6" w:rsidRPr="00577AC1" w:rsidRDefault="00A428F6" w:rsidP="00A428F6">
      <w:pPr>
        <w:pStyle w:val="NormalWeb"/>
        <w:shd w:val="clear" w:color="auto" w:fill="F5F5F5"/>
        <w:jc w:val="both"/>
        <w:rPr>
          <w:rFonts w:ascii="Verdana" w:hAnsi="Verdana"/>
          <w:color w:val="000000"/>
          <w:sz w:val="20"/>
          <w:szCs w:val="20"/>
          <w:lang w:val="en-GB"/>
        </w:rPr>
      </w:pPr>
      <w:r w:rsidRPr="00577AC1">
        <w:rPr>
          <w:rFonts w:ascii="Verdana" w:hAnsi="Verdana"/>
          <w:color w:val="000000"/>
          <w:sz w:val="20"/>
          <w:szCs w:val="20"/>
          <w:lang w:val="en-GB"/>
        </w:rPr>
        <w:t>The medicine can only be obtained with a prescription.</w:t>
      </w:r>
    </w:p>
    <w:p w:rsidR="00A428F6" w:rsidRPr="00577AC1" w:rsidRDefault="00A428F6" w:rsidP="00A428F6">
      <w:pPr>
        <w:pStyle w:val="NormalWeb"/>
        <w:shd w:val="clear" w:color="auto" w:fill="F5F5F5"/>
        <w:jc w:val="both"/>
        <w:rPr>
          <w:rFonts w:ascii="Verdana" w:hAnsi="Verdana"/>
          <w:color w:val="000000"/>
          <w:sz w:val="20"/>
          <w:szCs w:val="20"/>
          <w:lang w:val="en-GB"/>
        </w:rPr>
      </w:pPr>
      <w:proofErr w:type="spellStart"/>
      <w:r w:rsidRPr="00577AC1">
        <w:rPr>
          <w:rFonts w:ascii="Verdana" w:hAnsi="Verdana"/>
          <w:color w:val="000000"/>
          <w:sz w:val="20"/>
          <w:szCs w:val="20"/>
          <w:lang w:val="en-GB"/>
        </w:rPr>
        <w:t>Exforge</w:t>
      </w:r>
      <w:proofErr w:type="spellEnd"/>
      <w:r w:rsidRPr="00577AC1">
        <w:rPr>
          <w:rFonts w:ascii="Verdana" w:hAnsi="Verdana"/>
          <w:color w:val="000000"/>
          <w:sz w:val="20"/>
          <w:szCs w:val="20"/>
          <w:lang w:val="en-GB"/>
        </w:rPr>
        <w:t xml:space="preserve"> is taken by mouth as one tablet once a day with some water. The dose of </w:t>
      </w:r>
      <w:proofErr w:type="spellStart"/>
      <w:r w:rsidRPr="00577AC1">
        <w:rPr>
          <w:rFonts w:ascii="Verdana" w:hAnsi="Verdana"/>
          <w:color w:val="000000"/>
          <w:sz w:val="20"/>
          <w:szCs w:val="20"/>
          <w:lang w:val="en-GB"/>
        </w:rPr>
        <w:t>Exforge</w:t>
      </w:r>
      <w:proofErr w:type="spellEnd"/>
      <w:r w:rsidRPr="00577AC1">
        <w:rPr>
          <w:rFonts w:ascii="Verdana" w:hAnsi="Verdana"/>
          <w:color w:val="000000"/>
          <w:sz w:val="20"/>
          <w:szCs w:val="20"/>
          <w:lang w:val="en-GB"/>
        </w:rPr>
        <w:t xml:space="preserve"> to be used depends on the doses of amlodipine or valsartan that the patient was taking before. The patient may need to take separate tablets or capsules before switching to the combination tablet.</w:t>
      </w:r>
    </w:p>
    <w:p w:rsidR="00A428F6" w:rsidRPr="00577AC1" w:rsidRDefault="00A428F6" w:rsidP="00A428F6">
      <w:pPr>
        <w:pStyle w:val="NormalWeb"/>
        <w:shd w:val="clear" w:color="auto" w:fill="F5F5F5"/>
        <w:spacing w:before="0" w:after="0"/>
        <w:jc w:val="both"/>
        <w:rPr>
          <w:rFonts w:ascii="Verdana" w:hAnsi="Verdana"/>
          <w:color w:val="000000"/>
          <w:sz w:val="20"/>
          <w:szCs w:val="20"/>
          <w:lang w:val="en-GB"/>
        </w:rPr>
      </w:pPr>
      <w:proofErr w:type="spellStart"/>
      <w:r w:rsidRPr="00577AC1">
        <w:rPr>
          <w:rFonts w:ascii="Verdana" w:hAnsi="Verdana"/>
          <w:color w:val="000000"/>
          <w:sz w:val="20"/>
          <w:szCs w:val="20"/>
          <w:lang w:val="en-GB"/>
        </w:rPr>
        <w:t>Exforge</w:t>
      </w:r>
      <w:proofErr w:type="spellEnd"/>
      <w:r w:rsidRPr="00577AC1">
        <w:rPr>
          <w:rFonts w:ascii="Verdana" w:hAnsi="Verdana"/>
          <w:color w:val="000000"/>
          <w:sz w:val="20"/>
          <w:szCs w:val="20"/>
          <w:lang w:val="en-GB"/>
        </w:rPr>
        <w:t xml:space="preserve"> contains two </w:t>
      </w:r>
      <w:hyperlink r:id="rId7" w:tgtFrame="_blank" w:tooltip="The substance responsible for the activity of a medicine." w:history="1">
        <w:r w:rsidRPr="00577AC1">
          <w:rPr>
            <w:rStyle w:val="Hipervnculo"/>
            <w:rFonts w:ascii="Verdana" w:hAnsi="Verdana"/>
            <w:color w:val="000000"/>
            <w:sz w:val="20"/>
            <w:szCs w:val="20"/>
            <w:u w:val="none"/>
            <w:lang w:val="en-GB"/>
          </w:rPr>
          <w:t>active substances</w:t>
        </w:r>
      </w:hyperlink>
      <w:r w:rsidRPr="00577AC1">
        <w:rPr>
          <w:rFonts w:ascii="Verdana" w:hAnsi="Verdana"/>
          <w:color w:val="000000"/>
          <w:sz w:val="20"/>
          <w:szCs w:val="20"/>
          <w:lang w:val="en-GB"/>
        </w:rPr>
        <w:t xml:space="preserve">, amlodipine and valsartan. Both are anti–hypertensive medicines that have been available separately in the European Union (EU) since the mid-1990s. They work in similar ways to reduce blood pressure by </w:t>
      </w:r>
      <w:r w:rsidRPr="00577AC1">
        <w:rPr>
          <w:rFonts w:ascii="Verdana" w:hAnsi="Verdana"/>
          <w:color w:val="000000"/>
          <w:sz w:val="20"/>
          <w:szCs w:val="20"/>
          <w:lang w:val="en-GB"/>
        </w:rPr>
        <w:lastRenderedPageBreak/>
        <w:t>allowing the blood vessels to relax. By lowering the blood pressure, the risks associated with high blood pressure, such as having a stroke, are reduced.</w:t>
      </w:r>
    </w:p>
    <w:p w:rsidR="00A428F6" w:rsidRPr="00577AC1" w:rsidRDefault="00A428F6" w:rsidP="00A428F6">
      <w:pPr>
        <w:pStyle w:val="NormalWeb"/>
        <w:shd w:val="clear" w:color="auto" w:fill="F5F5F5"/>
        <w:spacing w:before="0" w:after="0"/>
        <w:jc w:val="both"/>
        <w:rPr>
          <w:rFonts w:ascii="Verdana" w:hAnsi="Verdana"/>
          <w:color w:val="000000"/>
          <w:sz w:val="20"/>
          <w:szCs w:val="20"/>
          <w:lang w:val="en-GB"/>
        </w:rPr>
      </w:pPr>
      <w:r w:rsidRPr="00577AC1">
        <w:rPr>
          <w:rFonts w:ascii="Verdana" w:hAnsi="Verdana"/>
          <w:color w:val="000000"/>
          <w:sz w:val="20"/>
          <w:szCs w:val="20"/>
          <w:lang w:val="en-GB"/>
        </w:rPr>
        <w:t xml:space="preserve">The most common side effects with </w:t>
      </w:r>
      <w:proofErr w:type="spellStart"/>
      <w:r w:rsidRPr="00577AC1">
        <w:rPr>
          <w:rFonts w:ascii="Verdana" w:hAnsi="Verdana"/>
          <w:color w:val="000000"/>
          <w:sz w:val="20"/>
          <w:szCs w:val="20"/>
          <w:lang w:val="en-GB"/>
        </w:rPr>
        <w:t>Exforge</w:t>
      </w:r>
      <w:proofErr w:type="spellEnd"/>
      <w:r w:rsidRPr="00577AC1">
        <w:rPr>
          <w:rFonts w:ascii="Verdana" w:hAnsi="Verdana"/>
          <w:color w:val="000000"/>
          <w:sz w:val="20"/>
          <w:szCs w:val="20"/>
          <w:lang w:val="en-GB"/>
        </w:rPr>
        <w:t xml:space="preserve"> (seen in between 1 and 10 patients in 100) are headache, </w:t>
      </w:r>
      <w:proofErr w:type="spellStart"/>
      <w:r w:rsidRPr="00577AC1">
        <w:rPr>
          <w:rFonts w:ascii="Verdana" w:hAnsi="Verdana"/>
          <w:color w:val="000000"/>
          <w:sz w:val="20"/>
          <w:szCs w:val="20"/>
          <w:lang w:val="en-GB"/>
        </w:rPr>
        <w:t>nasopharyngitis</w:t>
      </w:r>
      <w:proofErr w:type="spellEnd"/>
      <w:r w:rsidRPr="00577AC1">
        <w:rPr>
          <w:rFonts w:ascii="Verdana" w:hAnsi="Verdana"/>
          <w:color w:val="000000"/>
          <w:sz w:val="20"/>
          <w:szCs w:val="20"/>
          <w:lang w:val="en-GB"/>
        </w:rPr>
        <w:t xml:space="preserve"> (inflammation of the nose and throat), influenza (flu), hypokalaemia (low blood potassium levels), various types of oedema (swelling), fatigue (tiredness), flushing (reddening), asthenia (weakness) and hot flushes. For the full list of all side effects reported with </w:t>
      </w:r>
      <w:proofErr w:type="spellStart"/>
      <w:r w:rsidRPr="00577AC1">
        <w:rPr>
          <w:rFonts w:ascii="Verdana" w:hAnsi="Verdana"/>
          <w:color w:val="000000"/>
          <w:sz w:val="20"/>
          <w:szCs w:val="20"/>
          <w:lang w:val="en-GB"/>
        </w:rPr>
        <w:t>Exforge</w:t>
      </w:r>
      <w:proofErr w:type="spellEnd"/>
      <w:r w:rsidRPr="00577AC1">
        <w:rPr>
          <w:rFonts w:ascii="Verdana" w:hAnsi="Verdana"/>
          <w:color w:val="000000"/>
          <w:sz w:val="20"/>
          <w:szCs w:val="20"/>
          <w:lang w:val="en-GB"/>
        </w:rPr>
        <w:t>, see the </w:t>
      </w:r>
      <w:hyperlink r:id="rId8" w:tgtFrame="_blank" w:tooltip="The leaflet in every pack of medicine that contains information on the medicine for end-users, such as patients and animal owners." w:history="1">
        <w:r w:rsidRPr="00577AC1">
          <w:rPr>
            <w:rStyle w:val="Hipervnculo"/>
            <w:rFonts w:ascii="Verdana" w:hAnsi="Verdana"/>
            <w:color w:val="000000"/>
            <w:sz w:val="20"/>
            <w:szCs w:val="20"/>
            <w:u w:val="none"/>
            <w:lang w:val="en-GB"/>
          </w:rPr>
          <w:t>package leaflet</w:t>
        </w:r>
      </w:hyperlink>
      <w:r w:rsidRPr="00577AC1">
        <w:rPr>
          <w:rFonts w:ascii="Verdana" w:hAnsi="Verdana"/>
          <w:color w:val="000000"/>
          <w:sz w:val="20"/>
          <w:szCs w:val="20"/>
          <w:lang w:val="en-GB"/>
        </w:rPr>
        <w:t>.</w:t>
      </w:r>
    </w:p>
    <w:p w:rsidR="00A428F6" w:rsidRPr="00577AC1" w:rsidRDefault="00A428F6" w:rsidP="00A428F6">
      <w:pPr>
        <w:pStyle w:val="NormalWeb"/>
        <w:shd w:val="clear" w:color="auto" w:fill="F5F5F5"/>
        <w:spacing w:before="0" w:after="0"/>
        <w:jc w:val="both"/>
        <w:rPr>
          <w:rFonts w:ascii="Verdana" w:hAnsi="Verdana"/>
          <w:color w:val="000000"/>
          <w:sz w:val="20"/>
          <w:szCs w:val="20"/>
          <w:lang w:val="en-GB"/>
        </w:rPr>
      </w:pPr>
      <w:proofErr w:type="spellStart"/>
      <w:r w:rsidRPr="00577AC1">
        <w:rPr>
          <w:rFonts w:ascii="Verdana" w:hAnsi="Verdana"/>
          <w:color w:val="000000"/>
          <w:sz w:val="20"/>
          <w:szCs w:val="20"/>
          <w:lang w:val="en-GB"/>
        </w:rPr>
        <w:t>Exforge</w:t>
      </w:r>
      <w:proofErr w:type="spellEnd"/>
      <w:r w:rsidRPr="00577AC1">
        <w:rPr>
          <w:rFonts w:ascii="Verdana" w:hAnsi="Verdana"/>
          <w:color w:val="000000"/>
          <w:sz w:val="20"/>
          <w:szCs w:val="20"/>
          <w:lang w:val="en-GB"/>
        </w:rPr>
        <w:t xml:space="preserve"> must not be used in patients who are hypersensitive (allergic) to amlodipine or other medicines in the ‘</w:t>
      </w:r>
      <w:proofErr w:type="spellStart"/>
      <w:r w:rsidRPr="00577AC1">
        <w:rPr>
          <w:rFonts w:ascii="Verdana" w:hAnsi="Verdana"/>
          <w:color w:val="000000"/>
          <w:sz w:val="20"/>
          <w:szCs w:val="20"/>
          <w:lang w:val="en-GB"/>
        </w:rPr>
        <w:t>dihydropyridine</w:t>
      </w:r>
      <w:proofErr w:type="spellEnd"/>
      <w:r w:rsidRPr="00577AC1">
        <w:rPr>
          <w:rFonts w:ascii="Verdana" w:hAnsi="Verdana"/>
          <w:color w:val="000000"/>
          <w:sz w:val="20"/>
          <w:szCs w:val="20"/>
          <w:lang w:val="en-GB"/>
        </w:rPr>
        <w:t xml:space="preserve"> derivatives’ class, to valsartan, or to any of the other ingredients. It must not be used in women who are more than three months pregnant. Its use during the first three months of pregnancy is not recommended. </w:t>
      </w:r>
      <w:proofErr w:type="spellStart"/>
      <w:r w:rsidRPr="00577AC1">
        <w:rPr>
          <w:rFonts w:ascii="Verdana" w:hAnsi="Verdana"/>
          <w:color w:val="000000"/>
          <w:sz w:val="20"/>
          <w:szCs w:val="20"/>
          <w:lang w:val="en-GB"/>
        </w:rPr>
        <w:t>Exforge</w:t>
      </w:r>
      <w:proofErr w:type="spellEnd"/>
      <w:r w:rsidRPr="00577AC1">
        <w:rPr>
          <w:rFonts w:ascii="Verdana" w:hAnsi="Verdana"/>
          <w:color w:val="000000"/>
          <w:sz w:val="20"/>
          <w:szCs w:val="20"/>
          <w:lang w:val="en-GB"/>
        </w:rPr>
        <w:t xml:space="preserve"> must not be used in patients who have severe liver or bile problems, patients with certain heart problems and patients with severe hypotension (low blood pressure). </w:t>
      </w:r>
      <w:proofErr w:type="spellStart"/>
      <w:r w:rsidRPr="00577AC1">
        <w:rPr>
          <w:rFonts w:ascii="Verdana" w:hAnsi="Verdana"/>
          <w:color w:val="000000"/>
          <w:sz w:val="20"/>
          <w:szCs w:val="20"/>
          <w:lang w:val="en-GB"/>
        </w:rPr>
        <w:t>Exforge</w:t>
      </w:r>
      <w:proofErr w:type="spellEnd"/>
      <w:r w:rsidRPr="00577AC1">
        <w:rPr>
          <w:rFonts w:ascii="Verdana" w:hAnsi="Verdana"/>
          <w:color w:val="000000"/>
          <w:sz w:val="20"/>
          <w:szCs w:val="20"/>
          <w:lang w:val="en-GB"/>
        </w:rPr>
        <w:t xml:space="preserve"> must also not be used in combination with </w:t>
      </w:r>
      <w:proofErr w:type="spellStart"/>
      <w:r w:rsidRPr="00577AC1">
        <w:rPr>
          <w:rFonts w:ascii="Verdana" w:hAnsi="Verdana"/>
          <w:color w:val="000000"/>
          <w:sz w:val="20"/>
          <w:szCs w:val="20"/>
          <w:lang w:val="en-GB"/>
        </w:rPr>
        <w:t>aliskiren</w:t>
      </w:r>
      <w:proofErr w:type="spellEnd"/>
      <w:r w:rsidRPr="00577AC1">
        <w:rPr>
          <w:rFonts w:ascii="Verdana" w:hAnsi="Verdana"/>
          <w:color w:val="000000"/>
          <w:sz w:val="20"/>
          <w:szCs w:val="20"/>
          <w:lang w:val="en-GB"/>
        </w:rPr>
        <w:t>-containing medicines (also used to treat essential hypertension) in patients with type 2 diabetes or in patients with moderate or severe kidney impairment. For the full list of restrictions, see the </w:t>
      </w:r>
      <w:hyperlink r:id="rId9" w:tgtFrame="_blank" w:tooltip="The leaflet in every pack of medicine that contains information on the medicine for end-users, such as patients and animal owners." w:history="1">
        <w:r w:rsidRPr="00577AC1">
          <w:rPr>
            <w:rStyle w:val="Hipervnculo"/>
            <w:rFonts w:ascii="Verdana" w:hAnsi="Verdana"/>
            <w:color w:val="000000"/>
            <w:sz w:val="20"/>
            <w:szCs w:val="20"/>
            <w:u w:val="none"/>
            <w:lang w:val="en-GB"/>
          </w:rPr>
          <w:t>package leaflet</w:t>
        </w:r>
      </w:hyperlink>
      <w:r w:rsidRPr="00577AC1">
        <w:rPr>
          <w:rFonts w:ascii="Verdana" w:hAnsi="Verdana"/>
          <w:color w:val="000000"/>
          <w:sz w:val="20"/>
          <w:szCs w:val="20"/>
          <w:lang w:val="en-GB"/>
        </w:rPr>
        <w:t>.</w:t>
      </w:r>
    </w:p>
    <w:p w:rsidR="00A428F6" w:rsidRPr="00AF5958" w:rsidRDefault="00A428F6" w:rsidP="00A428F6">
      <w:pPr>
        <w:rPr>
          <w:rFonts w:ascii="Arial" w:hAnsi="Arial" w:cs="Arial"/>
          <w:b/>
          <w:lang w:val="en-GB"/>
        </w:rPr>
      </w:pPr>
      <w:r w:rsidRPr="0054529D">
        <w:rPr>
          <w:rFonts w:ascii="Times New Roman" w:hAnsi="Times New Roman" w:cs="Times New Roman"/>
          <w:b/>
          <w:sz w:val="20"/>
          <w:szCs w:val="20"/>
          <w:lang w:val="en-GB"/>
        </w:rPr>
        <w:t xml:space="preserve">        </w:t>
      </w:r>
      <w:r w:rsidRPr="00AF5958">
        <w:rPr>
          <w:rFonts w:ascii="Arial" w:hAnsi="Arial" w:cs="Arial"/>
          <w:b/>
          <w:highlight w:val="yellow"/>
          <w:lang w:val="en-GB"/>
        </w:rPr>
        <w:t>CONSIGNA 2:</w:t>
      </w:r>
      <w:r w:rsidRPr="00AF5958">
        <w:rPr>
          <w:rFonts w:ascii="Arial" w:hAnsi="Arial" w:cs="Arial"/>
          <w:b/>
          <w:lang w:val="en-GB"/>
        </w:rPr>
        <w:t xml:space="preserve"> Reconstruction (</w:t>
      </w:r>
      <w:proofErr w:type="spellStart"/>
      <w:r w:rsidRPr="00AF5958">
        <w:rPr>
          <w:rFonts w:ascii="Arial" w:hAnsi="Arial" w:cs="Arial"/>
          <w:b/>
          <w:lang w:val="en-GB"/>
        </w:rPr>
        <w:t>Puntaje</w:t>
      </w:r>
      <w:proofErr w:type="spellEnd"/>
      <w:r w:rsidRPr="00AF5958">
        <w:rPr>
          <w:rFonts w:ascii="Arial" w:hAnsi="Arial" w:cs="Arial"/>
          <w:b/>
          <w:lang w:val="en-GB"/>
        </w:rPr>
        <w:t xml:space="preserve"> </w:t>
      </w:r>
      <w:proofErr w:type="spellStart"/>
      <w:r w:rsidRPr="00AF5958">
        <w:rPr>
          <w:rFonts w:ascii="Arial" w:hAnsi="Arial" w:cs="Arial"/>
          <w:b/>
          <w:lang w:val="en-GB"/>
        </w:rPr>
        <w:t>parcial</w:t>
      </w:r>
      <w:proofErr w:type="spellEnd"/>
      <w:r w:rsidRPr="00AF5958">
        <w:rPr>
          <w:rFonts w:ascii="Arial" w:hAnsi="Arial" w:cs="Arial"/>
          <w:b/>
          <w:lang w:val="en-GB"/>
        </w:rPr>
        <w:t xml:space="preserve"> ….. /</w:t>
      </w:r>
      <w:r>
        <w:rPr>
          <w:rFonts w:ascii="Arial" w:hAnsi="Arial" w:cs="Arial"/>
          <w:b/>
          <w:lang w:val="en-GB"/>
        </w:rPr>
        <w:t>6</w:t>
      </w:r>
      <w:r w:rsidRPr="00AF5958">
        <w:rPr>
          <w:rFonts w:ascii="Arial" w:hAnsi="Arial" w:cs="Arial"/>
          <w:b/>
          <w:lang w:val="en-GB"/>
        </w:rPr>
        <w:t>)</w:t>
      </w:r>
    </w:p>
    <w:p w:rsidR="00A428F6" w:rsidRPr="00AF5958" w:rsidRDefault="00A428F6" w:rsidP="00A428F6">
      <w:pPr>
        <w:pStyle w:val="Prrafodelista"/>
        <w:numPr>
          <w:ilvl w:val="0"/>
          <w:numId w:val="1"/>
        </w:numPr>
        <w:jc w:val="both"/>
        <w:rPr>
          <w:rFonts w:ascii="Arial" w:hAnsi="Arial" w:cs="Arial"/>
          <w:bCs/>
          <w:lang w:val="en-GB"/>
        </w:rPr>
      </w:pPr>
      <w:r w:rsidRPr="00AF5958">
        <w:rPr>
          <w:rFonts w:ascii="Arial" w:hAnsi="Arial" w:cs="Arial"/>
          <w:bCs/>
          <w:lang w:val="en-GB"/>
        </w:rPr>
        <w:t xml:space="preserve">Reconstruct </w:t>
      </w:r>
      <w:r w:rsidRPr="00AF5958">
        <w:rPr>
          <w:rFonts w:ascii="Arial" w:hAnsi="Arial" w:cs="Arial"/>
          <w:bCs/>
          <w:u w:val="single"/>
          <w:lang w:val="en-GB"/>
        </w:rPr>
        <w:t xml:space="preserve">the information </w:t>
      </w:r>
      <w:r w:rsidRPr="00AF5958">
        <w:rPr>
          <w:rFonts w:ascii="Arial" w:hAnsi="Arial" w:cs="Arial"/>
          <w:bCs/>
          <w:lang w:val="en-GB"/>
        </w:rPr>
        <w:t xml:space="preserve">of the text by using your notes in the chart. Be concise and clear in no more than </w:t>
      </w:r>
      <w:r w:rsidRPr="00AF5958">
        <w:rPr>
          <w:rFonts w:ascii="Arial" w:hAnsi="Arial" w:cs="Arial"/>
          <w:bCs/>
          <w:highlight w:val="yellow"/>
          <w:lang w:val="en-GB"/>
        </w:rPr>
        <w:t>THREE or FOUR sentences</w:t>
      </w:r>
      <w:r w:rsidRPr="00AF5958">
        <w:rPr>
          <w:rFonts w:ascii="Arial" w:hAnsi="Arial" w:cs="Arial"/>
          <w:bCs/>
          <w:lang w:val="en-GB"/>
        </w:rPr>
        <w:t xml:space="preserve">. Make use of proper academic </w:t>
      </w:r>
      <w:r w:rsidRPr="00AF5958">
        <w:rPr>
          <w:rFonts w:ascii="Arial" w:hAnsi="Arial" w:cs="Arial"/>
          <w:b/>
          <w:lang w:val="en-GB"/>
        </w:rPr>
        <w:t>SPANISH</w:t>
      </w:r>
      <w:r w:rsidRPr="00AF5958">
        <w:rPr>
          <w:rFonts w:ascii="Arial" w:hAnsi="Arial" w:cs="Arial"/>
          <w:bCs/>
          <w:lang w:val="en-GB"/>
        </w:rPr>
        <w:t xml:space="preserve">.  Literal translations </w:t>
      </w:r>
      <w:r w:rsidRPr="00AF5958">
        <w:rPr>
          <w:rFonts w:ascii="Arial" w:hAnsi="Arial" w:cs="Arial"/>
          <w:bCs/>
          <w:u w:val="single"/>
          <w:lang w:val="en-GB"/>
        </w:rPr>
        <w:t>are not accepted</w:t>
      </w:r>
      <w:r w:rsidRPr="00AF5958">
        <w:rPr>
          <w:rFonts w:ascii="Arial" w:hAnsi="Arial" w:cs="Arial"/>
          <w:bCs/>
          <w:lang w:val="en-GB"/>
        </w:rPr>
        <w:t>. Please, use your own words.</w:t>
      </w:r>
    </w:p>
    <w:p w:rsidR="00A428F6" w:rsidRPr="0017688F" w:rsidRDefault="00A428F6" w:rsidP="00A428F6">
      <w:pPr>
        <w:rPr>
          <w:rFonts w:ascii="Times New Roman" w:hAnsi="Times New Roman" w:cs="Times New Roman"/>
          <w:sz w:val="28"/>
          <w:szCs w:val="28"/>
          <w:lang w:val="en-GB"/>
        </w:rPr>
      </w:pPr>
      <w:r w:rsidRPr="0017688F">
        <w:rPr>
          <w:rFonts w:ascii="Times New Roman" w:hAnsi="Times New Roman" w:cs="Times New Roman"/>
          <w:sz w:val="28"/>
          <w:szCs w:val="28"/>
          <w:lang w:val="en-GB"/>
        </w:rPr>
        <w:t>………………………………………………………………………</w:t>
      </w:r>
      <w:r>
        <w:rPr>
          <w:rFonts w:ascii="Times New Roman" w:hAnsi="Times New Roman" w:cs="Times New Roman"/>
          <w:sz w:val="28"/>
          <w:szCs w:val="28"/>
          <w:lang w:val="en-GB"/>
        </w:rPr>
        <w:t>……….</w:t>
      </w:r>
    </w:p>
    <w:p w:rsidR="00A428F6" w:rsidRPr="0017688F" w:rsidRDefault="00A428F6" w:rsidP="00A428F6">
      <w:pPr>
        <w:rPr>
          <w:rFonts w:ascii="Times New Roman" w:hAnsi="Times New Roman" w:cs="Times New Roman"/>
          <w:sz w:val="28"/>
          <w:szCs w:val="28"/>
          <w:lang w:val="en-GB"/>
        </w:rPr>
      </w:pPr>
      <w:r w:rsidRPr="0017688F">
        <w:rPr>
          <w:rFonts w:ascii="Times New Roman" w:hAnsi="Times New Roman" w:cs="Times New Roman"/>
          <w:sz w:val="28"/>
          <w:szCs w:val="28"/>
          <w:lang w:val="en-GB"/>
        </w:rPr>
        <w:t>………………………………………………………………………</w:t>
      </w:r>
      <w:r>
        <w:rPr>
          <w:rFonts w:ascii="Times New Roman" w:hAnsi="Times New Roman" w:cs="Times New Roman"/>
          <w:sz w:val="28"/>
          <w:szCs w:val="28"/>
          <w:lang w:val="en-GB"/>
        </w:rPr>
        <w:t>……….</w:t>
      </w:r>
    </w:p>
    <w:p w:rsidR="00A428F6" w:rsidRPr="0017688F" w:rsidRDefault="00A428F6" w:rsidP="00A428F6">
      <w:pPr>
        <w:rPr>
          <w:rFonts w:ascii="Times New Roman" w:hAnsi="Times New Roman" w:cs="Times New Roman"/>
          <w:sz w:val="28"/>
          <w:szCs w:val="28"/>
          <w:lang w:val="en-GB"/>
        </w:rPr>
      </w:pPr>
      <w:r w:rsidRPr="0017688F">
        <w:rPr>
          <w:rFonts w:ascii="Times New Roman" w:hAnsi="Times New Roman" w:cs="Times New Roman"/>
          <w:sz w:val="28"/>
          <w:szCs w:val="28"/>
          <w:lang w:val="en-GB"/>
        </w:rPr>
        <w:t>………………………………………………………………………</w:t>
      </w:r>
      <w:r>
        <w:rPr>
          <w:rFonts w:ascii="Times New Roman" w:hAnsi="Times New Roman" w:cs="Times New Roman"/>
          <w:sz w:val="28"/>
          <w:szCs w:val="28"/>
          <w:lang w:val="en-GB"/>
        </w:rPr>
        <w:t>……….</w:t>
      </w:r>
    </w:p>
    <w:p w:rsidR="00A428F6" w:rsidRPr="0017688F" w:rsidRDefault="00A428F6" w:rsidP="00A428F6">
      <w:pPr>
        <w:rPr>
          <w:rFonts w:ascii="Times New Roman" w:hAnsi="Times New Roman" w:cs="Times New Roman"/>
          <w:sz w:val="28"/>
          <w:szCs w:val="28"/>
          <w:lang w:val="en-GB"/>
        </w:rPr>
      </w:pPr>
      <w:r w:rsidRPr="0017688F">
        <w:rPr>
          <w:rFonts w:ascii="Times New Roman" w:hAnsi="Times New Roman" w:cs="Times New Roman"/>
          <w:sz w:val="28"/>
          <w:szCs w:val="28"/>
          <w:lang w:val="en-GB"/>
        </w:rPr>
        <w:t>………………………………………………………………………</w:t>
      </w:r>
      <w:r>
        <w:rPr>
          <w:rFonts w:ascii="Times New Roman" w:hAnsi="Times New Roman" w:cs="Times New Roman"/>
          <w:sz w:val="28"/>
          <w:szCs w:val="28"/>
          <w:lang w:val="en-GB"/>
        </w:rPr>
        <w:t>……….</w:t>
      </w:r>
    </w:p>
    <w:p w:rsidR="00A428F6" w:rsidRPr="0017688F" w:rsidRDefault="00A428F6" w:rsidP="00A428F6">
      <w:pPr>
        <w:rPr>
          <w:rFonts w:ascii="Times New Roman" w:hAnsi="Times New Roman" w:cs="Times New Roman"/>
          <w:sz w:val="28"/>
          <w:szCs w:val="28"/>
          <w:lang w:val="en-GB"/>
        </w:rPr>
      </w:pPr>
      <w:r w:rsidRPr="0017688F">
        <w:rPr>
          <w:rFonts w:ascii="Times New Roman" w:hAnsi="Times New Roman" w:cs="Times New Roman"/>
          <w:sz w:val="28"/>
          <w:szCs w:val="28"/>
          <w:lang w:val="en-GB"/>
        </w:rPr>
        <w:t>………………………………………………………………………</w:t>
      </w:r>
      <w:r>
        <w:rPr>
          <w:rFonts w:ascii="Times New Roman" w:hAnsi="Times New Roman" w:cs="Times New Roman"/>
          <w:sz w:val="28"/>
          <w:szCs w:val="28"/>
          <w:lang w:val="en-GB"/>
        </w:rPr>
        <w:t>……….</w:t>
      </w:r>
    </w:p>
    <w:p w:rsidR="0072618B" w:rsidRDefault="00A428F6" w:rsidP="00A428F6">
      <w:r w:rsidRPr="0017688F">
        <w:rPr>
          <w:rFonts w:ascii="Times New Roman" w:hAnsi="Times New Roman" w:cs="Times New Roman"/>
          <w:sz w:val="28"/>
          <w:szCs w:val="28"/>
          <w:lang w:val="en-GB"/>
        </w:rPr>
        <w:t>………………………………………………………………………</w:t>
      </w:r>
      <w:r>
        <w:rPr>
          <w:rFonts w:ascii="Times New Roman" w:hAnsi="Times New Roman" w:cs="Times New Roman"/>
          <w:sz w:val="28"/>
          <w:szCs w:val="28"/>
          <w:lang w:val="en-GB"/>
        </w:rPr>
        <w:t>……….</w:t>
      </w:r>
    </w:p>
    <w:sectPr w:rsidR="0072618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9236F0"/>
    <w:multiLevelType w:val="hybridMultilevel"/>
    <w:tmpl w:val="9F122622"/>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6AF345BB"/>
    <w:multiLevelType w:val="hybridMultilevel"/>
    <w:tmpl w:val="6FBACB86"/>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8F6"/>
    <w:rsid w:val="0072618B"/>
    <w:rsid w:val="00A428F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EECF5B-B987-4698-84D9-E9B69D1DE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28F6"/>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A428F6"/>
    <w:rPr>
      <w:color w:val="0000FF"/>
      <w:u w:val="single"/>
    </w:rPr>
  </w:style>
  <w:style w:type="paragraph" w:styleId="Prrafodelista">
    <w:name w:val="List Paragraph"/>
    <w:basedOn w:val="Normal"/>
    <w:uiPriority w:val="99"/>
    <w:qFormat/>
    <w:rsid w:val="00A428F6"/>
    <w:pPr>
      <w:ind w:left="720"/>
      <w:contextualSpacing/>
    </w:pPr>
  </w:style>
  <w:style w:type="paragraph" w:styleId="NormalWeb">
    <w:name w:val="Normal (Web)"/>
    <w:basedOn w:val="Normal"/>
    <w:uiPriority w:val="99"/>
    <w:semiHidden/>
    <w:unhideWhenUsed/>
    <w:rsid w:val="00A428F6"/>
    <w:pPr>
      <w:spacing w:before="100" w:beforeAutospacing="1" w:after="100" w:afterAutospacing="1" w:line="240" w:lineRule="auto"/>
    </w:pPr>
    <w:rPr>
      <w:rFonts w:ascii="Times New Roman" w:eastAsia="Times New Roman" w:hAnsi="Times New Roman" w:cs="Times New Roman"/>
      <w:sz w:val="24"/>
      <w:szCs w:val="24"/>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glossary/package-leaflet" TargetMode="External"/><Relationship Id="rId3" Type="http://schemas.openxmlformats.org/officeDocument/2006/relationships/settings" Target="settings.xml"/><Relationship Id="rId7" Type="http://schemas.openxmlformats.org/officeDocument/2006/relationships/hyperlink" Target="https://www.ema.europa.eu/en/glossary/active-substa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ma.europa.eu/en/glossary/active-substance"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ma.europa.eu/en/glossary/package-leafle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636</Words>
  <Characters>3503</Characters>
  <Application>Microsoft Office Word</Application>
  <DocSecurity>0</DocSecurity>
  <Lines>29</Lines>
  <Paragraphs>8</Paragraphs>
  <ScaleCrop>false</ScaleCrop>
  <Company/>
  <LinksUpToDate>false</LinksUpToDate>
  <CharactersWithSpaces>4131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aalejandro_27@hotmail.com</dc:creator>
  <cp:keywords/>
  <dc:description/>
  <cp:lastModifiedBy>aalejandro_27@hotmail.com</cp:lastModifiedBy>
  <cp:revision>1</cp:revision>
  <dcterms:created xsi:type="dcterms:W3CDTF">2025-05-31T11:46:00Z</dcterms:created>
  <dcterms:modified xsi:type="dcterms:W3CDTF">2025-05-31T11:48:00Z</dcterms:modified>
</cp:coreProperties>
</file>